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НЕДВИЖИМОСТИ ЛИЧНОЙ СОБСТВЕННОСТЬЮ ОДНОГО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Личный характер имущества подтверждается тем, что оно приобретено [до брака / в дар / по наследству / за личные средства], а вклад общих средств не изменил его правовой режим либо не был существенным.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личного источника приобретения и отсутствие преобразования имущества общими вложениями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личной собственностью истца.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его из состава имущества, подлежащего разделу.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недвижимости личной собственностью одного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