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ОПРЕДЕЛЕНИИ ПОРЯДКА ОБЩЕНИЯ БАБУШКИ И ДЕДУШКИ С РЕБЁНКОМ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проживают раздельно с [дата]. Ребёнок фактически проживает с [Ф.И.О.], посещает [образовательная организация], имеет устойчивый режим, социальные связи и медицинское наблюдение.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не смогли согласовать место жительства / график общения. Предлагаемый порядок учитывает возраст, обучение, здоровье, привязанность ребёнка, расстояние между местами жительства и исключает его вовлечение в конфликт взрослых.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имеют равные права и обязанности. При раздельном проживании место жительства ребёнка и порядок общения определяются соглашением, а при споре — судом исходя из интересов ребёнка с учётом его возраста, привязанности, отношений с каждым родителем и возможности создать условия для воспитания.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деле обязательно участвует орган опеки и попечительства, который обследует условия жизни и представляет заключение. Суд вправе установить детальный, исполнимый график общения, включая каникулы, праздники, связь и порядок передачи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место проживания и режим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привязанность и отношения с каждым родителем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жилищные, воспитательные и временные возможности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мнение ребёнка и заключение органа опеки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Определить порядок общения бабушки и дедушки с ребёнком по графику [дни, время, место, каникулы].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характеристики из образовательной организации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жилищных условиях и занятости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предлагаемый детальный график общения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определении порядка общения бабушки и дедушки с ребёнком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