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ОСВОБОЖДЕНИИ ОТ ОБЯЗАННОСТИ СОДЕРЖАТЬ РОДИТЕЛЯ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об уплате алиментов заключается письменно и удостоверяется нотариально; нотариально удостоверенное соглашение имеет силу исполнительного документа. Условия не могут ухудшать положение несовершеннолетнего по сравнению с судебным взысканием.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Алиментные обязанности супругов, бывших супругов, совершеннолетних детей и родителей регулируются главами 14–15 СК РФ. Суд оценивает нуждаемость, нетрудоспособность, материальное и семейное положение сторон и иные заслуживающие внимания обстоятельства.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права на содержание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нуждаемость и нетрудоспособность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материальное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форма и справедливость условий алиментного соглашения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алименты на ребёнка [Ф.И.О.] в размере [доля / комбинированный размер] ежемесячно начиная со дня обращения в суд.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родстве / браке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медицинские документы о нетрудоспособности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сведения о доходах, имуществе и расходах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проект нотариального соглашения / оспариваемое соглашение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освобождении от обязанности содержать родителя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