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АЛИМЕНТОВ НА СОДЕРЖАНИЕ БЫВШЕГО СУПРУГА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об уплате алиментов заключается письменно и удостоверяется нотариально; нотариально удостоверенное соглашение имеет силу исполнительного документа. Условия не могут ухудшать положение несовершеннолетнего по сравнению с судебным взысканием.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Алиментные обязанности супругов, бывших супругов, совершеннолетних детей и родителей регулируются главами 14–15 СК РФ. Суд оценивает нуждаемость, нетрудоспособность, материальное и семейное положение сторон и иные заслуживающие внимания обстоятельства.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права на содержание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нуждаемость и нетрудоспособность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материальное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форма и справедливость условий алиментного соглашения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алименты на ребёнка [Ф.И.О.] в размере [доля / комбинированный размер] ежемесячно начиная со дня обращения в суд.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родстве / браке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медицинские документы о нетрудоспособности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сведения о доходах, имуществе и расходах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проект нотариального соглашения / оспариваемое соглашение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алиментов на содержание бывшего супруга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