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НЕДЕЙСТВИТЕЛЬНОЙ ЦЕПОЧКИ СДЕЛОК ПО ВЫВОДУ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спорную сделку / цепочку сделок недействительной.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возвратить имущество должнику / взыскать его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Погасить / восстановить записи в соответствующем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Принять обеспечительные меры в отношении имущества и счетов ответчиков.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недействительной цепочки сделок по выводу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