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ОСПАРИВАНИИ СДЕЛКИ С АФФИЛИРОВАННЫМ ЛИЦОМ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спорную сделку / цепочку сделок недействительной.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сделки с аффилированным лицом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