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ИСКЛЮЧЕНИИ ИМУЩЕСТВА ТРЕТЬЕГО ЛИЦА ИЗ ОПИСИ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исключении имущества третьего лица из описи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