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ОСВОБОЖДЕНИИ ИМУЩЕСТВА ОТ АРЕСТА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 об освобождении имущества от ареста предъявляет собственник или иной законный владелец, не являющийся должником. Ответчиками выступают должник и взыскатель; пристав обычно участвует как третье лицо.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освобождении имущества от ареста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