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ЗАПРЕТЕ РЕГИСТРАЦИОННЫХ ДЕЙСТВИЙ С НЕДВИЖИМОСТЬЮ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извещён о возбуждении производства [дата], срок добровольного исполнения истёк, задолженность составляет [сумма] рублей. Несмотря на это, он [уклоняется от явки, меняет адрес, отчуждает имущество, совершает поездки, продолжает пользоваться специальным правом].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Обычные меры не привели к исполнению. Заявитель располагает доказательствами осведомлённости должника: [получение постановления, вход в Госуслуги, участие представителя, частичная оплата, переписка].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Запрашиваемая мера ограничена периодом неисполнения, соответствует сумме и характеру долга и должна быть отменена сразу после исполнения либо отпадения законных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Меры принудительного исполнения и ограничения применяются только после возбуждения производства и при наличии предусмотренных законом условий. Они должны быть необходимыми, исполнимыми и соразмерными характеру и размеру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Временное ограничение на выезд и ограничение специального права не применяются автоматически: пристав проверяет размер задолженности, извещение должника, истечение срока добровольного исполнения и наличие исключений. Административная и уголовная ответственность требуют установления состава правонарушения и виновного уклонения.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Применить указанную меру принудительного исполнения / ограничение.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наличие всех предусмотренных законом условий и исключений.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мотивированное постановление и направить его сторонам и исполняющему органу.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Отменить меру после полного исполнения или отпадения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Доказательства извещения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Сведения о неисполнении и размере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отсутствии исключений для ограничения.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запрете регистрационных действий с недвижимостью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