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ОБРАЩЕНИИ ВЗЫСКАНИЯ НА ДЕБИТОРСКУЮ ЗАДОЛЖЕННОСТЬ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Денежных средств и ликвидного движимого имущества должника недостаточно. Это подтверждается ответами банков, актом выхода пристава, сведениями реестров и размером непогашенной задолженности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 должника имеется специальный актив: [недвижимость / транспорт / доля в ООО / акции / товарный знак / дебиторская задолженность / земельный участок / заложенное имущество / право требования]. Его идентифицирующие сведения и ориентировочная стоимость указаны в приложениях.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Актив не относится к имуществу, полностью исключённому из взыскания, либо заявитель просит суд определить допустимый объём взыскания. Предлагаемая мера соответствует размеру требований и позволяет перейти к реальному исполнению.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недостаточности денег взыскание обращается на иное имущество и имущественные права должника с соблюдением очередности и специальных правил. Для отдельных активов закон требует судебного акта либо участия регистратора, общества, Росреестра, депозитария или правообладателя.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долю в ООО возможно при недостаточности иного имущества и с учётом статьи 25 Федерального закона № 14-ФЗ. Взыскание на земельный участок обращается по решению суда. При работе с залогом учитываются приоритет залогодержателя и условия судебного акта.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на указанный актив должника.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Истребовать у регистратора / общества / правообладателя сведения и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Наложить запрет распоряжения и определить стоимость актива.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Организовать реализацию либо получение платежа по имущественному праву.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Зачесть поступившие средства в погашение задолженности.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Выписки ЕГРН / ЕГРЮЛ / реестра акционеров / Роспатента.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стоимости и обременениях актива.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отсутствия иного имущества.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обращении взыскания на дебиторскую задолженность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