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ДОЛЮ ДОЛЖНИКА В УСТАВНОМ КАПИТАЛЕ ООО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долю участника ООО необходимо подтвердить отсутствие иного имущества и соблюсти специальную процедуру статьи 25 Закона об ООО, включая возможность выплаты действительной стоимости доли обществом или другими участниками.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долю должника в уставном капитале ООО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