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ТРАНСПОРТНОЕ СРЕДСТВО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транспортное средство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