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3061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690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1"/>
              </w:rPr>
              <w:t>В [наименование кассационного суда / арбитражного суда округа]</w:t>
              <w:br/>
              <w:t>[адрес]</w:t>
              <w:br/>
              <w:br/>
              <w:t>Дело № [номер дела]</w:t>
              <w:br/>
              <w:br/>
              <w:t>Заявитель жалобы: [Ф.И.О. / наименование, адрес, процессуальное положение]</w:t>
              <w:br/>
              <w:t>Другие лица, участвующие в деле: [наименование, адреса]</w:t>
              <w:br/>
              <w:t>Судебный пристав-исполнитель / территориальный орган ФССП: [при участии]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КАССАЦИОННАЯ ЖАЛОБА ПО СПОРУ ОБ ИСПОЛНЕНИИ СУДЕБНОГО АКТА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представляет собой развёрнутую рабочую форму. Перед подачей необходимо заменить заполнители, проверить компетенцию суда или подразделения ФССП, срок обращения, размер государственной пошлины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Обжалуемый судебный акт принят «___» __________ 20___ года по делу № [номер]. Суд разрешил спор следующим образом: [кратко изложить резолютивную часть]. Копия судебного акта получена заявителем [дата].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Заявитель не согласен с выводами суда, поскольку [неправильно определены юридически значимые обстоятельства, не исследованы доказательства, нарушены правила компетенции, неверно применены нормы права]. Ошибки повлияли на исход дела и не могут быть устранены без пересмотра судебного акта.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жалобе приводятся только те доводы, которые относятся к предмету проверки соответствующей инстанции. Новые доказательства прилагаются с объяснением причин невозможности их представления ранее — если процессуальный закон допускает их принятие.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стадии исполнения допускаются правопреемство, признание и исполнение иностранных решений, выдача исполнительных листов на третейские решения и взыскание убытков, причинённых незаконными действиями государственных органов или иных обязанных лиц.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Убытки от действий пристава взыскиваются с Российской Федерации по статьям 16, 1069 и 1071 ГК РФ при доказанности незаконности, вреда и причинной связи. Отсутствие отдельного решения о незаконности действий не препятствует оценке этого вопроса в иске, но отсутствие результата взыскания само по себе не означает ответственность государства.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разрешении вопроса должны соблюдаться принципы законности, своевременности исполнительных действий, соотносимости объёма требований и мер принудительного исполнения, неприкосновенности минимума имущества должника и уважения прав третьих лиц.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Юридически значимые обстоятельства и доказательства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удовлетворения заявления необходимо подтвердить следующие обстоятельства: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Основание правопреемства или исполнения иностранного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Компетенция суда.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Незаконность поведения ответчика.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Размер вреда и причинная связь.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– Отсутствие оснований для отказа.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 СУД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Отменить обжалуемые судебные акты полностью / в части.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Направить дело на новое рассмотрение либо принять новый судебный акт в пределах полномочий кассационной инстанции.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Разрешить вопрос о судебных расходах.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1. Копия документа, удостоверяющего личность / выписка ЕГРЮЛ заявителя.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2. Документ, подтверждающий полномочия представителя.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3. Копия исполнительного документа / судебного акта.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4. Копия постановления о возбуждении исполнительного производства.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5. Документы, подтверждающие направление обращения другим участникам — если требуется.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6. Документы о реорганизации или правопреемстве.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7. Расчёт убытков и доказательства причинной связи.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8. Иностранное / третейское решение, арбитражное соглашение и подтверждение вступления в силу.</w:t>
      </w:r>
    </w:p>
    <w:p>
      <w:pPr>
        <w:spacing w:line="247" w:lineRule="auto" w:after="50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3"/>
        </w:rPr>
        <w:t>9. Надлежащий перевод и доказательства извещения сторон.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3"/>
              </w:rPr>
              <w:t>________________ / [Ф.И.О. / наименование]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Исполнительное производство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Кассационная жалоба по спору об исполнении судебного акта</dc:title>
  <dc:subject>Исполнительное производство — библиотека ZOTOWA.RU</dc:subject>
  <dc:creator>Юридическая фирма «Зотова и партнёры»</dc:creator>
  <cp:keywords>исполнительное производство, ФССП, судебный пристав,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