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ОБРАЩЕНИИ ВЗЫСКАНИЯ НА ИМУЩЕСТВО ЛИКВИДИРОВАННОГО ЮРИДИЧЕСКОГО ЛИЦА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обязательство возникло из [судебный акт / третейское решение / иностранное решение] от [дата] по делу № [номер]. После принятия акта произошли [реорганизация, ликвидация, переход права, обнаружение имущества, незаконное бездействие пристава или банка].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неисполненного требования / причинённых убытков составляет [сумма] рублей. Причинная связь подтверждается тем, что при своевременном и надлежащем действии [конкретный актив или сумма] могли быть сохранены и направлены взыскателю.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представляет доказательства компетенции суда, надлежащего извещения сторон, вступления акта в силу и отсутствия оснований для отказа в признании либо для освобождения ответчика от гражданско-правовой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обнаруженное имущество ликвидированного юридического лица / определить надлежащий способ его распределения.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Привлечь бывших участников, ликвидатора и регистрирующий орган.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Сохранить имущество до разрешения вопроса.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судебный акт приставу и регистрирующему органу.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обращении взыскания на имущество ликвидированного юридического лица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