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СОХРАНЕНИИ ПРОЖИТОЧНОГО МИНИМУМА НА ИЖДИВЕНЦА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Заявление должно содержать конкретный счёт для сохранения средств и сведения о доходе. При наличии иждивенцев вопрос о повышенном размере сохраняемой суммы решается судом с оценкой обязательных расходов и интересов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Вид и источник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Код назначения платежа.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удержаний.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Прожиточный минимум и иждивенцы.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Статус имущества и наличие иммунитета.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Увеличить размер ежемесячно сохраняемых денежных средств с учётом иждивенцев до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Обязать пристава / банк учитывать установленный размер при удержаниях.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Сохранить остальную часть взыскания в действующем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сохранении прожиточного минимума на иждивенца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