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ПОДПИСКИ НА ПРОГРАММНЫЙ ПРОДУКТ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094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подписки на программный продукт»;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объем лицензии и доступ к функционалу</w:t>
      </w:r>
    </w:p>
    <w:p>
      <w:pPr>
        <w:pStyle w:val="ListBullet"/>
        <w:spacing w:after="40"/>
      </w:pPr>
      <w:r>
        <w:t>тарифы, биллинг и автоматическое продление</w:t>
      </w:r>
    </w:p>
    <w:p>
      <w:pPr>
        <w:pStyle w:val="ListBullet"/>
        <w:spacing w:after="40"/>
      </w:pPr>
      <w:r>
        <w:t>доступность, резервирование и восстановление</w:t>
      </w:r>
    </w:p>
    <w:p>
      <w:pPr>
        <w:pStyle w:val="ListBullet"/>
        <w:spacing w:after="40"/>
      </w:pPr>
      <w:r>
        <w:t>экспорт и удаление данных после прекращения доступа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«Договор подписки на программный продукт»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подписки на программный продукт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