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ПОЛЬЗОВАТЕЛЬСКОЕ СОГЛАШЕНИЕ SAAS-ПЛАТФОРМЫ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092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«Пользовательское соглашение SaaS-платформы»;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Закон Российской Федерации от 07.02.1992 № 2300-1 «О защите прав потребителей» - если пользователь является потребителем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объем лицензии и доступ к функционалу</w:t>
      </w:r>
    </w:p>
    <w:p>
      <w:pPr>
        <w:pStyle w:val="ListBullet"/>
        <w:spacing w:after="40"/>
      </w:pPr>
      <w:r>
        <w:t>тарифы, биллинг и автоматическое продление</w:t>
      </w:r>
    </w:p>
    <w:p>
      <w:pPr>
        <w:pStyle w:val="ListBullet"/>
        <w:spacing w:after="40"/>
      </w:pPr>
      <w:r>
        <w:t>доступность, резервирование и восстановление</w:t>
      </w:r>
    </w:p>
    <w:p>
      <w:pPr>
        <w:pStyle w:val="ListBullet"/>
        <w:spacing w:after="40"/>
      </w:pPr>
      <w:r>
        <w:t>экспорт и удаление данных после прекращения доступа</w:t>
      </w:r>
    </w:p>
    <w:p>
      <w:pPr>
        <w:pStyle w:val="Heading1"/>
      </w:pPr>
      <w:r>
        <w:t>1. Общие условия и акцепт</w:t>
      </w:r>
    </w:p>
    <w:p>
      <w:pPr>
        <w:jc w:val="both"/>
      </w:pPr>
      <w:r>
        <w:t>Настоящий документ «Пользовательское соглашение SaaS-платформы» регулирует доступ пользователя / заказчика к сервису [наименование, URL]. Акцепт осуществляется путем регистрации, оплаты, нажатия кнопки либо подписания договора - выбрать применимый вариант.</w:t>
      </w:r>
    </w:p>
    <w:p>
      <w:pPr>
        <w:pStyle w:val="Heading1"/>
      </w:pPr>
      <w:r>
        <w:t>2. Функциональность и лицензия</w:t>
      </w:r>
    </w:p>
    <w:p>
      <w:pPr>
        <w:jc w:val="both"/>
      </w:pPr>
      <w:r>
        <w:t>Правообладатель предоставляет ограниченное непередаваемое право удаленного использования функционала в пределах тарифа, числа учетных записей, срока и назначения. Пользователь не получает исходный код и исключительное право.</w:t>
      </w:r>
    </w:p>
    <w:p>
      <w:pPr>
        <w:jc w:val="both"/>
      </w:pPr>
      <w:r>
        <w:t>Запрещаются обход ограничений, обратная разработка в недопустимом законом объеме, предоставление доступа третьим лицам, вредоносные нагрузки и использование сервиса с нарушением прав других лиц.</w:t>
      </w:r>
    </w:p>
    <w:p>
      <w:pPr>
        <w:pStyle w:val="Heading1"/>
      </w:pPr>
      <w:r>
        <w:t>3. Учетная запись и идентификация</w:t>
      </w:r>
    </w:p>
    <w:p>
      <w:pPr>
        <w:jc w:val="both"/>
      </w:pPr>
      <w:r>
        <w:t>Пользователь отвечает за актуальность данных, сохранность средств аутентификации и действия в учетной записи до уведомления о компрометации. Для критических операций применяется дополнительное подтверждение.</w:t>
      </w:r>
    </w:p>
    <w:p>
      <w:pPr>
        <w:pStyle w:val="Heading1"/>
      </w:pPr>
      <w:r>
        <w:t>4. Тарифы и расчеты</w:t>
      </w:r>
    </w:p>
    <w:p>
      <w:pPr>
        <w:jc w:val="both"/>
      </w:pPr>
      <w:r>
        <w:t>Тариф, лимиты, период и цена указываются на странице заказа / в спецификации. Изменение тарифа применяется к следующему расчетному периоду после предварительного уведомления, если иное не предусмотрено законом.</w:t>
      </w:r>
    </w:p>
    <w:p>
      <w:pPr>
        <w:pStyle w:val="Heading1"/>
      </w:pPr>
      <w:r>
        <w:t>5. Доступность и поддержка</w:t>
      </w:r>
    </w:p>
    <w:p>
      <w:pPr>
        <w:jc w:val="both"/>
      </w:pPr>
      <w:r>
        <w:t>Целевой уровень доступности: [___]%. Не учитываются согласованные окна обслуживания, форс-мажор, сбои инфраструктуры пользователя и запрещенные действия. Категории инцидентов и сроки реакции определяются SLA.</w:t>
      </w:r>
    </w:p>
    <w:p>
      <w:pPr>
        <w:pStyle w:val="Heading1"/>
      </w:pPr>
      <w:r>
        <w:t>6. Пользовательские данные</w:t>
      </w:r>
    </w:p>
    <w:p>
      <w:pPr>
        <w:jc w:val="both"/>
      </w:pPr>
      <w:r>
        <w:t>Права на пользовательский контент сохраняются за пользователем. Он предоставляет технически необходимое право на хранение, обработку, резервирование и отображение контента для оказания сервиса.</w:t>
      </w:r>
    </w:p>
    <w:p>
      <w:pPr>
        <w:jc w:val="both"/>
      </w:pPr>
      <w:r>
        <w:t>Экспорт данных доступен в формате [___]. После прекращения доступа данные хранятся [___] дней, затем удаляются / обезличиваются, если более длительное хранение не требуется законом.</w:t>
      </w:r>
    </w:p>
    <w:p>
      <w:pPr>
        <w:pStyle w:val="Heading1"/>
      </w:pPr>
      <w:r>
        <w:t>7. Персональные данные и безопасность</w:t>
      </w:r>
    </w:p>
    <w:p>
      <w:pPr>
        <w:jc w:val="both"/>
      </w:pPr>
      <w:r>
        <w:t>Роли оператора и обработчика определяются фактическими целями обработки. При обработке по поручению стороны оформляют перечень данных, операций, меры конфиденциальности и безопасности, локализацию и порядок привлечения субподрядчиков.</w:t>
      </w:r>
    </w:p>
    <w:p>
      <w:pPr>
        <w:jc w:val="both"/>
      </w:pPr>
      <w:r>
        <w:t>О существенном инциденте сервис сообщает заказчику без неоправданной задержки, указывая известные обстоятельства, меры локализации и контактное лицо.</w:t>
      </w:r>
    </w:p>
    <w:p>
      <w:pPr>
        <w:pStyle w:val="Heading1"/>
      </w:pPr>
      <w:r>
        <w:t>8. Интеллектуальные права</w:t>
      </w:r>
    </w:p>
    <w:p>
      <w:pPr>
        <w:jc w:val="both"/>
      </w:pPr>
      <w:r>
        <w:t>Сервис, интерфейс, документация и обновления принадлежат правообладателю / лицензиарам. Использование товарных знаков и материалов вне функционала не разрешается.</w:t>
      </w:r>
    </w:p>
    <w:p>
      <w:pPr>
        <w:pStyle w:val="Heading1"/>
      </w:pPr>
      <w:r>
        <w:t>9. Блокировка и прекращение</w:t>
      </w:r>
    </w:p>
    <w:p>
      <w:pPr>
        <w:jc w:val="both"/>
      </w:pPr>
      <w:r>
        <w:t>Блокировка допускается при угрозе безопасности, нарушении закона / правил, задолженности или необходимости исполнения акта органа. Если возможно, пользователю предоставляется срок устранения нарушения и возможность выгрузить данные.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Ответственность определяется законом и договором. Ограничение ответственности не распространяется на умышленное нарушение, конфиденциальность, исключительные права и случаи, когда ограничение запрещено законом.</w:t>
      </w:r>
    </w:p>
    <w:p>
      <w:pPr>
        <w:jc w:val="both"/>
      </w:pPr>
      <w:r>
        <w:t>Претензии направляются по адресу [___], срок ответа [___] дней. Подсудность определяется статусом сторон и обязательными правилами защиты потребителей.</w:t>
      </w:r>
    </w:p>
    <w:p>
      <w:pPr>
        <w:pStyle w:val="Heading1"/>
      </w:pPr>
      <w:r>
        <w:t>Реквизиты / сведения правообладателя</w:t>
      </w:r>
    </w:p>
    <w:p>
      <w:pPr>
        <w:pStyle w:val="ListBullet"/>
        <w:spacing w:after="40"/>
      </w:pPr>
      <w:r>
        <w:t>Наименование: [___].</w:t>
      </w:r>
    </w:p>
    <w:p>
      <w:pPr>
        <w:pStyle w:val="ListBullet"/>
        <w:spacing w:after="40"/>
      </w:pPr>
      <w:r>
        <w:t>ОГРН / ИНН: [___].</w:t>
      </w:r>
    </w:p>
    <w:p>
      <w:pPr>
        <w:pStyle w:val="ListBullet"/>
        <w:spacing w:after="40"/>
      </w:pPr>
      <w:r>
        <w:t>Адрес: [___].</w:t>
      </w:r>
    </w:p>
    <w:p>
      <w:pPr>
        <w:pStyle w:val="ListBullet"/>
        <w:spacing w:after="40"/>
      </w:pPr>
      <w:r>
        <w:t>Электронная почта поддержки и юридических сообщений: [___].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Пользовательское соглашение SaaS-платформы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