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IT-АУТСОРСИНГА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078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IT-аутсорсинга»;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уровень доступности сервиса</w:t>
      </w:r>
    </w:p>
    <w:p>
      <w:pPr>
        <w:pStyle w:val="ListBullet"/>
        <w:spacing w:after="40"/>
      </w:pPr>
      <w:r>
        <w:t>категории инцидентов и сроки реакции</w:t>
      </w:r>
    </w:p>
    <w:p>
      <w:pPr>
        <w:pStyle w:val="ListBullet"/>
        <w:spacing w:after="40"/>
      </w:pPr>
      <w:r>
        <w:t>окна обслуживания и исключения из расчета</w:t>
      </w:r>
    </w:p>
    <w:p>
      <w:pPr>
        <w:pStyle w:val="ListBullet"/>
        <w:spacing w:after="40"/>
      </w:pPr>
      <w:r>
        <w:t>сервисные кредиты, неустойка и отчетность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IT-аутсорсинга»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Уровень доступности сервиса.</w:t>
      </w:r>
    </w:p>
    <w:p>
      <w:pPr>
        <w:jc w:val="both"/>
      </w:pPr>
      <w:r>
        <w:t>4.2. Категории инцидентов и сроки реакции.</w:t>
      </w:r>
    </w:p>
    <w:p>
      <w:pPr>
        <w:jc w:val="both"/>
      </w:pPr>
      <w:r>
        <w:t>4.3. Окна обслуживания и исключения из расчета.</w:t>
      </w:r>
    </w:p>
    <w:p>
      <w:pPr>
        <w:jc w:val="both"/>
      </w:pPr>
      <w:r>
        <w:t>4.4. Сервисные кредиты, неустойка и отчетность.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IT-аутсорсинга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