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ТЕХНИЧЕСКОЕ ЗАДАНИЕ НА РАЗРАБОТКУ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069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«Техническое задание на разработку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Heading1"/>
      </w:pPr>
      <w:r>
        <w:t>1. Общая информация</w:t>
      </w:r>
    </w:p>
    <w:p>
      <w:pPr>
        <w:pStyle w:val="ListBullet"/>
        <w:spacing w:after="40"/>
      </w:pPr>
      <w:r>
        <w:t>Наименование продукта: [___].</w:t>
      </w:r>
    </w:p>
    <w:p>
      <w:pPr>
        <w:pStyle w:val="ListBullet"/>
        <w:spacing w:after="40"/>
      </w:pPr>
      <w:r>
        <w:t>Заказчик / владелец продукта: [___].</w:t>
      </w:r>
    </w:p>
    <w:p>
      <w:pPr>
        <w:pStyle w:val="ListBullet"/>
        <w:spacing w:after="40"/>
      </w:pPr>
      <w:r>
        <w:t>Исполнитель / команда: [___].</w:t>
      </w:r>
    </w:p>
    <w:p>
      <w:pPr>
        <w:pStyle w:val="ListBullet"/>
        <w:spacing w:after="40"/>
      </w:pPr>
      <w:r>
        <w:t>Версия технического задания: [___].</w:t>
      </w:r>
    </w:p>
    <w:p>
      <w:pPr>
        <w:pStyle w:val="ListBullet"/>
        <w:spacing w:after="40"/>
      </w:pPr>
      <w:r>
        <w:t>Связанный договор и этап: [___].</w:t>
      </w:r>
    </w:p>
    <w:p>
      <w:pPr>
        <w:pStyle w:val="Heading1"/>
      </w:pPr>
      <w:r>
        <w:t>2. Цели и границы проекта</w:t>
      </w:r>
    </w:p>
    <w:p>
      <w:pPr>
        <w:jc w:val="both"/>
      </w:pPr>
      <w:r>
        <w:t>Бизнес-цель: [___]. Пользовательские проблемы: [___]. В объем входят: [___]. Не входят: [___]. Критерий достижения цели: [___].</w:t>
      </w:r>
    </w:p>
    <w:p>
      <w:pPr>
        <w:pStyle w:val="Heading1"/>
      </w:pPr>
      <w:r>
        <w:t>3. Пользователи и сценарии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AEBFCB"/>
          </w:tcPr>
          <w:p>
            <w:r>
              <w:t>Роль</w:t>
            </w:r>
          </w:p>
        </w:tc>
        <w:tc>
          <w:tcPr>
            <w:tcW w:type="dxa" w:w="2564"/>
            <w:shd w:fill="AEBFCB"/>
          </w:tcPr>
          <w:p>
            <w:r>
              <w:t>Сценарий</w:t>
            </w:r>
          </w:p>
        </w:tc>
        <w:tc>
          <w:tcPr>
            <w:tcW w:type="dxa" w:w="2564"/>
            <w:shd w:fill="AEBFCB"/>
          </w:tcPr>
          <w:p>
            <w:r>
              <w:t>Входные данные</w:t>
            </w:r>
          </w:p>
        </w:tc>
        <w:tc>
          <w:tcPr>
            <w:tcW w:type="dxa" w:w="2564"/>
            <w:shd w:fill="AEBFCB"/>
          </w:tcPr>
          <w:p>
            <w:r>
              <w:t>Ожидаемый результат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  <w:tr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  <w:tc>
          <w:tcPr>
            <w:tcW w:type="dxa" w:w="2564"/>
          </w:tcPr>
          <w:p>
            <w:r>
              <w:t>[___]</w:t>
            </w:r>
          </w:p>
        </w:tc>
      </w:tr>
    </w:tbl>
    <w:p>
      <w:pPr>
        <w:pStyle w:val="Heading1"/>
      </w:pPr>
      <w:r>
        <w:t>4. Функциональные требования</w:t>
      </w:r>
    </w:p>
    <w:p>
      <w:pPr>
        <w:spacing w:after="40"/>
        <w:ind w:left="312" w:hanging="312"/>
      </w:pPr>
      <w:r>
        <w:t>1. [FR-01] [___].</w:t>
      </w:r>
    </w:p>
    <w:p>
      <w:pPr>
        <w:spacing w:after="40"/>
        <w:ind w:left="312" w:hanging="312"/>
      </w:pPr>
      <w:r>
        <w:t>2. [FR-02] [___].</w:t>
      </w:r>
    </w:p>
    <w:p>
      <w:pPr>
        <w:spacing w:after="40"/>
        <w:ind w:left="312" w:hanging="312"/>
      </w:pPr>
      <w:r>
        <w:t>3. [FR-03] [___].</w:t>
      </w:r>
    </w:p>
    <w:p>
      <w:pPr>
        <w:spacing w:after="40"/>
        <w:ind w:left="312" w:hanging="312"/>
      </w:pPr>
      <w:r>
        <w:t>4. [FR-04] [___].</w:t>
      </w:r>
    </w:p>
    <w:p>
      <w:pPr>
        <w:spacing w:after="40"/>
        <w:ind w:left="312" w:hanging="312"/>
      </w:pPr>
      <w:r>
        <w:t>5. [FR-05] [___].</w:t>
      </w:r>
    </w:p>
    <w:p>
      <w:pPr>
        <w:pStyle w:val="Heading1"/>
      </w:pPr>
      <w:r>
        <w:t>5. Нефункциональные требования</w:t>
      </w:r>
    </w:p>
    <w:p>
      <w:pPr>
        <w:pStyle w:val="ListBullet"/>
        <w:spacing w:after="40"/>
      </w:pPr>
      <w:r>
        <w:t>производительность и нагрузка: [___];</w:t>
      </w:r>
    </w:p>
    <w:p>
      <w:pPr>
        <w:pStyle w:val="ListBullet"/>
        <w:spacing w:after="40"/>
      </w:pPr>
      <w:r>
        <w:t>доступность и восстановление: [___];</w:t>
      </w:r>
    </w:p>
    <w:p>
      <w:pPr>
        <w:pStyle w:val="ListBullet"/>
        <w:spacing w:after="40"/>
      </w:pPr>
      <w:r>
        <w:t>информационная безопасность: [___];</w:t>
      </w:r>
    </w:p>
    <w:p>
      <w:pPr>
        <w:pStyle w:val="ListBullet"/>
        <w:spacing w:after="40"/>
      </w:pPr>
      <w:r>
        <w:t>персональные данные и локализация: [___];</w:t>
      </w:r>
    </w:p>
    <w:p>
      <w:pPr>
        <w:pStyle w:val="ListBullet"/>
        <w:spacing w:after="40"/>
      </w:pPr>
      <w:r>
        <w:t>совместимость и поддерживаемые платформы: [___];</w:t>
      </w:r>
    </w:p>
    <w:p>
      <w:pPr>
        <w:pStyle w:val="ListBullet"/>
        <w:spacing w:after="40"/>
      </w:pPr>
      <w:r>
        <w:t>логирование и аудит: [___];</w:t>
      </w:r>
    </w:p>
    <w:p>
      <w:pPr>
        <w:pStyle w:val="ListBullet"/>
        <w:spacing w:after="40"/>
      </w:pPr>
      <w:r>
        <w:t>доступность для пользователей с ограничениями: [___].</w:t>
      </w:r>
    </w:p>
    <w:p>
      <w:pPr>
        <w:pStyle w:val="Heading1"/>
      </w:pPr>
      <w:r>
        <w:t>6. Архитектура, интеграции и данные</w:t>
      </w:r>
    </w:p>
    <w:p>
      <w:pPr>
        <w:jc w:val="both"/>
      </w:pPr>
      <w:r>
        <w:t>Архитектурная схема: [приложение]. Интеграции: [API, форматы, лимиты, ошибки]. Модель данных: [___]. Миграция и качество данных: [___].</w:t>
      </w:r>
    </w:p>
    <w:p>
      <w:pPr>
        <w:pStyle w:val="Heading1"/>
      </w:pPr>
      <w:r>
        <w:t>7. Интеллектуальные права и компоненты</w:t>
      </w:r>
    </w:p>
    <w:p>
      <w:pPr>
        <w:jc w:val="both"/>
      </w:pPr>
      <w:r>
        <w:t>Ранее созданные, сторонние и open-source-компоненты ведутся в отдельном реестре. Для каждого указываются версия, лицензия и ограничения. Создаваемые результаты и момент передачи прав определяются договором.</w:t>
      </w:r>
    </w:p>
    <w:p>
      <w:pPr>
        <w:pStyle w:val="Heading1"/>
      </w:pPr>
      <w:r>
        <w:t>8. Приемка и тестирование</w:t>
      </w:r>
    </w:p>
    <w:p>
      <w:pPr>
        <w:jc w:val="both"/>
      </w:pPr>
      <w:r>
        <w:t>Для каждого требования формируется проверяемый сценарий. Критические дефекты блокируют приемку; некритические фиксируются с согласованным сроком. Среда тестирования, тестовые данные и ответственные: [___].</w:t>
      </w:r>
    </w:p>
    <w:p>
      <w:pPr>
        <w:pStyle w:val="Heading1"/>
      </w:pPr>
      <w:r>
        <w:t>9. Этапы и результаты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Этап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Критерий приемки</w:t>
            </w:r>
          </w:p>
        </w:tc>
        <w:tc>
          <w:tcPr>
            <w:tcW w:type="dxa" w:w="2051"/>
            <w:shd w:fill="AEBFCB"/>
          </w:tcPr>
          <w:p>
            <w:r>
              <w:t>Стоимость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10. Управление изменениями</w:t>
      </w:r>
    </w:p>
    <w:p>
      <w:pPr>
        <w:jc w:val="both"/>
      </w:pPr>
      <w:r>
        <w:t>Изменение требования оформляется заявкой с описанием причины, приоритета, влияния на сроки, цену, архитектуру, безопасность и права. Изменение действует после письменного согласования.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Заказчик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Исполнитель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разработку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