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ТРУДОВОЙ ДОГОВОР С ПРОГРАММИСТОМ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031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«Трудовой договор с программистом»;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программистом.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программистом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