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ОБ ОБЕСПЕЧИТЕЛЬНЫХ МЕРАХ В ОТНОШЕНИИ САЙТА ИЛИ ПРОГРАММНОГО ПРОДУКТА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299 | Раздел Претензионная и судебная защита IT-бизнеса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об обеспечительных мерах в отношении сайта или программного продукта»;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2. 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3. 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4. Досудебная претензия от [___] получена адресатом [___], но требования не исполнены.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Арбитражный процессуальный кодекс Российской Федерации либо Гражданский процессуальный кодекс Российской Федерации - в зависимости от состава сторон и подсудности.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Принять обеспечительные меры: [запрет изменения администратора домена / запрет удаления репозитория / сохранение доступа / иная мера].</w:t>
      </w:r>
    </w:p>
    <w:p>
      <w:pPr>
        <w:spacing w:after="40"/>
        <w:ind w:left="312" w:hanging="312"/>
      </w:pPr>
      <w:r>
        <w:t>2. Направить определение для немедленного исполнения [регистратору / хостинг-провайдеру / иному лицу].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обеспечительных мерах в отношении сайта или программного продукта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