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ХОДАТАЙСТВО ОБ ОСМОТРЕ ЭЛЕКТРОННЫХ ДОКАЗАТЕЛЬСТВ СУДОМ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284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«Ходатайство об осмотре электронных доказательств судом»;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06.04.2011 № 63-ФЗ «Об электронной подписи».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статьи 160 и 434 ГК РФ.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Удовлетворить настоящее ходатайство.</w:t>
      </w:r>
    </w:p>
    <w:p>
      <w:pPr>
        <w:spacing w:after="40"/>
        <w:ind w:left="312" w:hanging="312"/>
      </w:pPr>
      <w:r>
        <w:t>2. Совершить процессуальное действие, указанное в наименовании документа, в отношении [объект / доказательство / вопрос].</w:t>
      </w:r>
    </w:p>
    <w:p>
      <w:pPr>
        <w:spacing w:after="40"/>
        <w:ind w:left="312" w:hanging="312"/>
      </w:pPr>
      <w:r>
        <w:t>3. Приобщить документ и приложения к материалам дела / проверки / заявки.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осмотре электронных доказательств судом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