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СОГЛАШЕНИЕ ОБ ИСПОЛЬЗОВАНИИ ПРОСТОЙ ЭЛЕКТРОННОЙ ПОДПИСИ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271 | Раздел Электронные подписи, цифровые сделки и доказательства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«Соглашение об использовании простой электронной подписи»;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06.04.2011 № 63-ФЗ «Об электронной подписи»</w:t>
      </w:r>
    </w:p>
    <w:p>
      <w:pPr>
        <w:pStyle w:val="ListBullet"/>
        <w:spacing w:after="40"/>
      </w:pPr>
      <w:r>
        <w:t>статьи 160 и 434 ГК РФ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способ идентификации подписанта</w:t>
      </w:r>
    </w:p>
    <w:p>
      <w:pPr>
        <w:pStyle w:val="ListBullet"/>
        <w:spacing w:after="40"/>
      </w:pPr>
      <w:r>
        <w:t>связь подписи с документом и учетной записью</w:t>
      </w:r>
    </w:p>
    <w:p>
      <w:pPr>
        <w:pStyle w:val="ListBullet"/>
        <w:spacing w:after="40"/>
      </w:pPr>
      <w:r>
        <w:t>компрометация ключа и блокировка доступа</w:t>
      </w:r>
    </w:p>
    <w:p>
      <w:pPr>
        <w:pStyle w:val="ListBullet"/>
        <w:spacing w:after="40"/>
      </w:pPr>
      <w:r>
        <w:t>хранение журналов и доказательств</w:t>
      </w:r>
    </w:p>
    <w:p>
      <w:pPr>
        <w:pStyle w:val="ListBullet"/>
        <w:spacing w:after="40"/>
      </w:pPr>
      <w:r>
        <w:t>признание электронного документа равнозначным бумажному</w:t>
      </w:r>
    </w:p>
    <w:p>
      <w:pPr>
        <w:pStyle w:val="Heading1"/>
      </w:pPr>
      <w:r>
        <w:t>1. Предмет и юридическое значение</w:t>
      </w:r>
    </w:p>
    <w:p>
      <w:pPr>
        <w:jc w:val="both"/>
      </w:pPr>
      <w:r>
        <w:t>Настоящий документ «Соглашение об использовании простой электронной подписи» устанавливает порядок формирования, подписания, отправки, получения и хранения электронных документов между [стороны].</w:t>
      </w:r>
    </w:p>
    <w:p>
      <w:pPr>
        <w:jc w:val="both"/>
      </w:pPr>
      <w:r>
        <w:t>Электронный документ признается равнозначным бумажному, если подписан согласованным видом электронной подписи и позволяет достоверно определить подписанта, содержание и момент совершения действия.</w:t>
      </w:r>
    </w:p>
    <w:p>
      <w:pPr>
        <w:pStyle w:val="Heading1"/>
      </w:pPr>
      <w:r>
        <w:t>2. Идентификация и виды подписей</w:t>
      </w:r>
    </w:p>
    <w:p>
      <w:pPr>
        <w:pStyle w:val="ListBullet"/>
        <w:spacing w:after="40"/>
      </w:pPr>
      <w:r>
        <w:t>Простая электронная подпись: логин + пароль / одноразовый код / подтверждение в личном кабинете - указать конкретный механизм.</w:t>
      </w:r>
    </w:p>
    <w:p>
      <w:pPr>
        <w:pStyle w:val="ListBullet"/>
        <w:spacing w:after="40"/>
      </w:pPr>
      <w:r>
        <w:t>Усиленная неквалифицированная подпись: [система, сертификат, правила проверки].</w:t>
      </w:r>
    </w:p>
    <w:p>
      <w:pPr>
        <w:pStyle w:val="ListBullet"/>
        <w:spacing w:after="40"/>
      </w:pPr>
      <w:r>
        <w:t>Усиленная квалифицированная подпись: сертификат аккредитованного удостоверяющего центра и средства подписи, соответствующие закону.</w:t>
      </w:r>
    </w:p>
    <w:p>
      <w:pPr>
        <w:pStyle w:val="Heading1"/>
      </w:pPr>
      <w:r>
        <w:t>3. Правила использования</w:t>
      </w:r>
    </w:p>
    <w:p>
      <w:pPr>
        <w:spacing w:after="40"/>
        <w:ind w:left="312" w:hanging="312"/>
      </w:pPr>
      <w:r>
        <w:t>1. Средства подписи выдаются конкретному лицу после идентификации.</w:t>
      </w:r>
    </w:p>
    <w:p>
      <w:pPr>
        <w:spacing w:after="40"/>
        <w:ind w:left="312" w:hanging="312"/>
      </w:pPr>
      <w:r>
        <w:t>2. Запрещается передавать пароль, токен, ключ или код другому лицу.</w:t>
      </w:r>
    </w:p>
    <w:p>
      <w:pPr>
        <w:spacing w:after="40"/>
        <w:ind w:left="312" w:hanging="312"/>
      </w:pPr>
      <w:r>
        <w:t>3. Каждая сторона поддерживает актуальный перечень уполномоченных лиц и полномочий.</w:t>
      </w:r>
    </w:p>
    <w:p>
      <w:pPr>
        <w:spacing w:after="40"/>
        <w:ind w:left="312" w:hanging="312"/>
      </w:pPr>
      <w:r>
        <w:t>4. Система сохраняет документ, версию, дату, адрес, идентификатор сессии, результат проверки подписи и подтверждение доставки.</w:t>
      </w:r>
    </w:p>
    <w:p>
      <w:pPr>
        <w:pStyle w:val="Heading1"/>
      </w:pPr>
      <w:r>
        <w:t>4. Компрометация и отзыв</w:t>
      </w:r>
    </w:p>
    <w:p>
      <w:pPr>
        <w:jc w:val="both"/>
      </w:pPr>
      <w:r>
        <w:t>При подозрении на компрометацию владелец незамедлительно блокирует средство подписи и уведомляет другую сторону по каналу [___]. Документы, сформированные после зарегистрированного момента уведомления, не считаются подтвержденными этим средством до завершения проверки.</w:t>
      </w:r>
    </w:p>
    <w:p>
      <w:pPr>
        <w:pStyle w:val="Heading1"/>
      </w:pPr>
      <w:r>
        <w:t>5. Споры об авторстве и целостности</w:t>
      </w:r>
    </w:p>
    <w:p>
      <w:pPr>
        <w:jc w:val="both"/>
      </w:pPr>
      <w:r>
        <w:t>Сторона, оспаривающая документ, указывает конкретные основания и предоставляет имеющиеся доказательства. Проводится проверка журналов, сертификатов, контрольных сумм, IP-адресов, устройств, сообщений подтверждения и иных данных.</w:t>
      </w:r>
    </w:p>
    <w:p>
      <w:pPr>
        <w:pStyle w:val="Heading1"/>
      </w:pPr>
      <w:r>
        <w:t>6. Хранение</w:t>
      </w:r>
    </w:p>
    <w:p>
      <w:pPr>
        <w:jc w:val="both"/>
      </w:pPr>
      <w:r>
        <w:t>Электронные документы и сведения проверки хранятся не менее [___] лет в формате, позволяющем воспроизвести содержание и проверить подпись на юридически значимую дату.</w:t>
      </w:r>
    </w:p>
    <w:p>
      <w:pPr>
        <w:pStyle w:val="Heading1"/>
      </w:pPr>
      <w:r>
        <w:t>7. Ответственность и заключительные положения</w:t>
      </w:r>
    </w:p>
    <w:p>
      <w:pPr>
        <w:jc w:val="both"/>
      </w:pPr>
      <w:r>
        <w:t>Сторона несет риск последствий несоблюдения правил хранения средств подписи, если не докажет отсутствие своей вины и своевременное уведомление о компрометации. Споры разрешаются в установленном договором и законом порядке.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об использовании простой электронной подписи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