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ЛИЦЕНЗИОННОЕ СОГЛАШЕНИЕ НА ИСПОЛЬЗОВАНИЕ AI-СЕРВИСА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263 | Раздел Искусственный интеллект и машинное обучение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«Лицензионное соглашение на использование AI-сервиса»;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Федеральный закон от 31.07.2020 № 258-ФЗ об экспериментальных правовых режимах в сфере цифровых инноваций</w:t>
      </w:r>
    </w:p>
    <w:p>
      <w:pPr>
        <w:pStyle w:val="ListBullet"/>
        <w:spacing w:after="40"/>
      </w:pPr>
      <w:r>
        <w:t>ГК РФ и законодательство о персональных данных в применимой части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правомерность источников обучающих данных</w:t>
      </w:r>
    </w:p>
    <w:p>
      <w:pPr>
        <w:pStyle w:val="ListBullet"/>
        <w:spacing w:after="40"/>
      </w:pPr>
      <w:r>
        <w:t>распределение прав на модель, код, датасет и результаты</w:t>
      </w:r>
    </w:p>
    <w:p>
      <w:pPr>
        <w:pStyle w:val="ListBullet"/>
        <w:spacing w:after="40"/>
      </w:pPr>
      <w:r>
        <w:t>ограничения автоматизированных решений</w:t>
      </w:r>
    </w:p>
    <w:p>
      <w:pPr>
        <w:pStyle w:val="ListBullet"/>
        <w:spacing w:after="40"/>
      </w:pPr>
      <w:r>
        <w:t>человеческий контроль и верификация</w:t>
      </w:r>
    </w:p>
    <w:p>
      <w:pPr>
        <w:pStyle w:val="ListBullet"/>
        <w:spacing w:after="40"/>
      </w:pPr>
      <w:r>
        <w:t>безопасность, конфиденциальность и журналирование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[Заказчик / Правообладатель] и [Разработчик / Поставщик] заключили договор в отношении AI-системы [___].</w:t>
      </w:r>
    </w:p>
    <w:p>
      <w:pPr>
        <w:pStyle w:val="Heading1"/>
      </w:pPr>
      <w:r>
        <w:t>1. Предмет и назначение</w:t>
      </w:r>
    </w:p>
    <w:p>
      <w:pPr>
        <w:jc w:val="both"/>
      </w:pPr>
      <w:r>
        <w:t>1.1. Исполнитель разрабатывает / обучает / предоставляет модель для задач [___] и не гарантирует пригодность для иных целей.</w:t>
      </w:r>
    </w:p>
    <w:p>
      <w:pPr>
        <w:jc w:val="both"/>
      </w:pPr>
      <w:r>
        <w:t>1.2. Требования включают метрики качества, допустимые ошибки, ограничения, производительность, объяснимость и условия человеческой проверки.</w:t>
      </w:r>
    </w:p>
    <w:p>
      <w:pPr>
        <w:pStyle w:val="Heading1"/>
      </w:pPr>
      <w:r>
        <w:t>2. Данные и датасеты</w:t>
      </w:r>
    </w:p>
    <w:p>
      <w:pPr>
        <w:jc w:val="both"/>
      </w:pPr>
      <w:r>
        <w:t>2.1. Для каждого набора фиксируются источник, правовое основание, лицензия, состав персональных данных, дата получения, версия и ограничения.</w:t>
      </w:r>
    </w:p>
    <w:p>
      <w:pPr>
        <w:jc w:val="both"/>
      </w:pPr>
      <w:r>
        <w:t>2.2. Заказчик не передает данные, использование которых нарушает закон или права третьих лиц. Исполнитель не использует данные вне согласованной цели и не включает их в общую модель без отдельного разрешения.</w:t>
      </w:r>
    </w:p>
    <w:p>
      <w:pPr>
        <w:jc w:val="both"/>
      </w:pPr>
      <w:r>
        <w:t>2.3. Применяются минимизация, обезличивание / псевдонимизация, контроль доступа и сроки удаления.</w:t>
      </w:r>
    </w:p>
    <w:p>
      <w:pPr>
        <w:pStyle w:val="Heading1"/>
      </w:pPr>
      <w:r>
        <w:t>3. Результаты и права</w:t>
      </w:r>
    </w:p>
    <w:p>
      <w:pPr>
        <w:jc w:val="both"/>
      </w:pPr>
      <w:r>
        <w:t>3.1. Стороны отдельно определяют права на исходный код, веса модели, конфигурации, датасеты, разметку, промпты, документацию и выходные материалы.</w:t>
      </w:r>
    </w:p>
    <w:p>
      <w:pPr>
        <w:jc w:val="both"/>
      </w:pPr>
      <w:r>
        <w:t>3.2. Ранее созданные модели и библиотеки остаются у соответствующей стороны; заказчику предоставляется необходимая лицензия.</w:t>
      </w:r>
    </w:p>
    <w:p>
      <w:pPr>
        <w:jc w:val="both"/>
      </w:pPr>
      <w:r>
        <w:t>3.3. Исполнитель раскрывает open-source и сторонние компоненты, а также ограничения облачных провайдеров.</w:t>
      </w:r>
    </w:p>
    <w:p>
      <w:pPr>
        <w:pStyle w:val="Heading1"/>
      </w:pPr>
      <w:r>
        <w:t>4. Тестирование и приемка</w:t>
      </w:r>
    </w:p>
    <w:p>
      <w:pPr>
        <w:jc w:val="both"/>
      </w:pPr>
      <w:r>
        <w:t>4.1. Приемка производится на контрольном датасете, не использованном для обучения, по метрикам [___].</w:t>
      </w:r>
    </w:p>
    <w:p>
      <w:pPr>
        <w:jc w:val="both"/>
      </w:pPr>
      <w:r>
        <w:t>4.2. Проверяются устойчивость, утечки данных, вредоносные запросы, дискриминационные эффекты, воспроизводимость и журналирование.</w:t>
      </w:r>
    </w:p>
    <w:p>
      <w:pPr>
        <w:jc w:val="both"/>
      </w:pPr>
      <w:r>
        <w:t>4.3. Результаты оформляются протоколом; существенные отклонения устраняются в гарантийный срок.</w:t>
      </w:r>
    </w:p>
    <w:p>
      <w:pPr>
        <w:pStyle w:val="Heading1"/>
      </w:pPr>
      <w:r>
        <w:t>5. Человеческий контроль и запрещенные применения</w:t>
      </w:r>
    </w:p>
    <w:p>
      <w:pPr>
        <w:jc w:val="both"/>
      </w:pPr>
      <w:r>
        <w:t>5.1. AI-вывод не используется как единственное основание решения, способного существенно затронуть права лица, без предусмотренной законом оценки и человеческого контроля.</w:t>
      </w:r>
    </w:p>
    <w:p>
      <w:pPr>
        <w:jc w:val="both"/>
      </w:pPr>
      <w:r>
        <w:t>5.2. Запрещаются незаконная дискриминация, скрытая идентификация, создание вредоносного кода, нарушение конфиденциальности и иные цели [___].</w:t>
      </w:r>
    </w:p>
    <w:p>
      <w:pPr>
        <w:pStyle w:val="Heading1"/>
      </w:pPr>
      <w:r>
        <w:t>6. Безопасность и инциденты</w:t>
      </w:r>
    </w:p>
    <w:p>
      <w:pPr>
        <w:jc w:val="both"/>
      </w:pPr>
      <w:r>
        <w:t>6.1. Устанавливаются управление ключами, ограничения API, журналирование, мониторинг аномалий, резервирование и план отката модели.</w:t>
      </w:r>
    </w:p>
    <w:p>
      <w:pPr>
        <w:jc w:val="both"/>
      </w:pPr>
      <w:r>
        <w:t>6.2. Об утечке данных, извлечении модели, критической уязвимости или массовом ошибочном результате сторона сообщает в течение [___] часов.</w:t>
      </w:r>
    </w:p>
    <w:p>
      <w:pPr>
        <w:pStyle w:val="Heading1"/>
      </w:pPr>
      <w:r>
        <w:t>7. Ответственность и прекращение</w:t>
      </w:r>
    </w:p>
    <w:p>
      <w:pPr>
        <w:jc w:val="both"/>
      </w:pPr>
      <w:r>
        <w:t>7.1. Ответственность распределяется с учетом контроля каждой стороны над данными, настройками, интеграцией и решениями пользователя.</w:t>
      </w:r>
    </w:p>
    <w:p>
      <w:pPr>
        <w:jc w:val="both"/>
      </w:pPr>
      <w:r>
        <w:t>7.2. При прекращении Исполнитель передает согласованные артефакты, обеспечивает экспорт и удаляет данные, не подлежащие хранению.</w:t>
      </w:r>
    </w:p>
    <w:p>
      <w:pPr>
        <w:jc w:val="both"/>
      </w:pPr>
      <w:r>
        <w:t>7.3. Споры разрешаются после претензионного порядка в компетентном суде.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Техническое задание и метрики.</w:t>
      </w:r>
    </w:p>
    <w:p>
      <w:pPr>
        <w:spacing w:after="40"/>
        <w:ind w:left="312" w:hanging="312"/>
      </w:pPr>
      <w:r>
        <w:t>2. Карточки датасетов.</w:t>
      </w:r>
    </w:p>
    <w:p>
      <w:pPr>
        <w:spacing w:after="40"/>
        <w:ind w:left="312" w:hanging="312"/>
      </w:pPr>
      <w:r>
        <w:t>3. Реестр компонентов и лицензий.</w:t>
      </w:r>
    </w:p>
    <w:p>
      <w:pPr>
        <w:spacing w:after="40"/>
        <w:ind w:left="312" w:hanging="312"/>
      </w:pPr>
      <w:r>
        <w:t>4. План тестирования и протокол приемки.</w:t>
      </w:r>
    </w:p>
    <w:p>
      <w:pPr>
        <w:spacing w:after="40"/>
        <w:ind w:left="312" w:hanging="312"/>
      </w:pPr>
      <w:r>
        <w:t>5. Матрица рисков и человеческого контроля.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Заказчик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Исполнитель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Лицензионное соглашение на использование AI-сервиса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