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РЕГЛАМЕНТ ПРИМЕНЕНИЯ ГЕНЕРАТИВНОГО ИИ СОТРУДНИКАМИ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258 | Раздел Искусственный интеллект и машинное обучение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«Регламент применения генеративного ИИ сотрудниками»;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31.07.2020 № 258-ФЗ об экспериментальных правовых режимах в сфере цифровых инноваций</w:t>
      </w:r>
    </w:p>
    <w:p>
      <w:pPr>
        <w:pStyle w:val="ListBullet"/>
        <w:spacing w:after="40"/>
      </w:pPr>
      <w:r>
        <w:t>ГК РФ и законодательство о персональных данных в применимой части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«Регламент применения генеративного ИИ сотрудниками»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Четкое описание цели документа.</w:t>
      </w:r>
    </w:p>
    <w:p>
      <w:pPr>
        <w:jc w:val="both"/>
      </w:pPr>
      <w:r>
        <w:t>Распределение полномочий и ответственности.</w:t>
      </w:r>
    </w:p>
    <w:p>
      <w:pPr>
        <w:jc w:val="both"/>
      </w:pPr>
      <w:r>
        <w:t>Перечень подтверждающих документов.</w:t>
      </w:r>
    </w:p>
    <w:p>
      <w:pPr>
        <w:jc w:val="both"/>
      </w:pPr>
      <w:r>
        <w:t>Порядок согласования, исполнения и контроля.</w:t>
      </w:r>
    </w:p>
    <w:p>
      <w:pPr>
        <w:jc w:val="both"/>
      </w:pPr>
      <w:r>
        <w:t>Срок действия и процедура изменения документа.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применения генеративного ИИ сотрудниками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