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ФИКСАЦИИ КОМПЬЮТЕРНОГО ИНЦИДЕНТА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251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фиксации компьютерного инцидента»;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фиксации компьютерного инцидента»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 и время] оператор выявил неправомерную / случайную передачу, предоставление, распространение или доступ к персональным данным.</w:t>
      </w:r>
    </w:p>
    <w:p>
      <w:pPr>
        <w:jc w:val="both"/>
      </w:pPr>
      <w:r>
        <w:t>2. Предполагаемая причина инцидента: [___]; затронутые системы, категории данных и число субъектов: [___].</w:t>
      </w:r>
    </w:p>
    <w:p>
      <w:pPr>
        <w:jc w:val="both"/>
      </w:pPr>
      <w:r>
        <w:t>3. Оператор локализовал инцидент, ограничил доступ, сохранил журналы и назначил ответственное лицо для взаимодействия с Роскомнадзором.</w:t>
      </w:r>
    </w:p>
    <w:p>
      <w:pPr>
        <w:jc w:val="both"/>
      </w:pPr>
      <w:r>
        <w:t>4. Первичное уведомление направляется в течение 24 часов с момента выявления; результаты внутреннего расследования - в течение 72 часов.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фиксации компьютерного инцидента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