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ПЕРЕДАЧЕ ПРОЕКТУ РЕЗУЛЬТАТОВ ИНТЕЛЛЕКТУАЛЬНОЙ ДЕЯТЕЛЬНОСТИ ОСНОВАТЕЛЯ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024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передаче проекту результатов интеллектуальной деятельности основателя»;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проекту результатов интеллектуальной деятельности основателя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