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ЗАПРОС ИНОСТРАННОМУ ПОЛУЧАТЕЛЮ О МЕРАХ ЗАЩИТЫ ДАННЫХ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230 | Раздел Роскомнадзор, трансграничная передача и утечки данных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подготовить мотивированный анализ фактов, правовых рисков и рекомендуемых действий.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«Запрос иностранному получателю о мерах защиты данных»;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ListBullet"/>
        <w:spacing w:after="40"/>
      </w:pPr>
      <w:r>
        <w:t>приказ Роскомнадзора от 28.10.2022 № 180 о формах уведомлений операторов персональных данных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1. Исходные данные</w:t>
      </w:r>
    </w:p>
    <w:p>
      <w:pPr>
        <w:pStyle w:val="ListBullet"/>
        <w:spacing w:after="40"/>
      </w:pPr>
      <w:r>
        <w:t>Заказчик / инициатор: [___].</w:t>
      </w:r>
    </w:p>
    <w:p>
      <w:pPr>
        <w:pStyle w:val="ListBullet"/>
        <w:spacing w:after="40"/>
      </w:pPr>
      <w:r>
        <w:t>Проект / продукт: [___].</w:t>
      </w:r>
    </w:p>
    <w:p>
      <w:pPr>
        <w:pStyle w:val="ListBullet"/>
        <w:spacing w:after="40"/>
      </w:pPr>
      <w:r>
        <w:t>Цель анализа: [___].</w:t>
      </w:r>
    </w:p>
    <w:p>
      <w:pPr>
        <w:pStyle w:val="ListBullet"/>
        <w:spacing w:after="40"/>
      </w:pPr>
      <w:r>
        <w:t>Документы и данные, использованные при подготовке: [___].</w:t>
      </w:r>
    </w:p>
    <w:p>
      <w:pPr>
        <w:pStyle w:val="ListBullet"/>
        <w:spacing w:after="40"/>
      </w:pPr>
      <w:r>
        <w:t>Ограничения анализа и непроверенные предположения: [___].</w:t>
      </w:r>
    </w:p>
    <w:p>
      <w:pPr>
        <w:pStyle w:val="Heading1"/>
      </w:pPr>
      <w:r>
        <w:t>2. Вопросы анализа</w:t>
      </w:r>
    </w:p>
    <w:p>
      <w:pPr>
        <w:spacing w:after="40"/>
        <w:ind w:left="312" w:hanging="312"/>
      </w:pPr>
      <w:r>
        <w:t>1. четкое описание цели документа</w:t>
      </w:r>
    </w:p>
    <w:p>
      <w:pPr>
        <w:spacing w:after="40"/>
        <w:ind w:left="312" w:hanging="312"/>
      </w:pPr>
      <w:r>
        <w:t>2. распределение полномочий и ответственности</w:t>
      </w:r>
    </w:p>
    <w:p>
      <w:pPr>
        <w:spacing w:after="40"/>
        <w:ind w:left="312" w:hanging="312"/>
      </w:pPr>
      <w:r>
        <w:t>3. перечень подтверждающих документов</w:t>
      </w:r>
    </w:p>
    <w:p>
      <w:pPr>
        <w:spacing w:after="40"/>
        <w:ind w:left="312" w:hanging="312"/>
      </w:pPr>
      <w:r>
        <w:t>4. порядок согласования, исполнения и контроля</w:t>
      </w:r>
    </w:p>
    <w:p>
      <w:pPr>
        <w:spacing w:after="40"/>
        <w:ind w:left="312" w:hanging="312"/>
      </w:pPr>
      <w:r>
        <w:t>5. срок действия и процедура изменения документа</w:t>
      </w:r>
    </w:p>
    <w:p>
      <w:pPr>
        <w:pStyle w:val="Heading1"/>
      </w:pPr>
      <w:r>
        <w:t>3. Установленные обстоятельства</w:t>
      </w:r>
    </w:p>
    <w:p>
      <w:pPr>
        <w:jc w:val="both"/>
      </w:pPr>
      <w:r>
        <w:t>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4. Правовой анализ</w:t>
      </w:r>
    </w:p>
    <w:p>
      <w:pPr>
        <w:jc w:val="both"/>
      </w:pPr>
      <w:r>
        <w:t>При оценке применяется Федеральный закон от 27.07.2006 № 152-ФЗ «О персональных данных».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При оценке применяется Федеральный закон от 27.07.2006 № 149-ФЗ «Об информации, информационных технологиях и о защите информации».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При оценке применяется приказ Роскомнадзора от 28.10.2022 № 180 о формах уведомлений операторов персональных данных.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Ключевое значение имеют доказуемая цепочка прав, письменная постановка задач, критерии приемки, сохранность версий, идентификация участников, законность обработки данных и документирование управленческих решений.</w:t>
      </w:r>
    </w:p>
    <w:p>
      <w:pPr>
        <w:pStyle w:val="Heading1"/>
      </w:pPr>
      <w:r>
        <w:t>5. Матрица рисков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Риск</w:t>
            </w:r>
          </w:p>
        </w:tc>
        <w:tc>
          <w:tcPr>
            <w:tcW w:type="dxa" w:w="2051"/>
            <w:shd w:fill="AEBFCB"/>
          </w:tcPr>
          <w:p>
            <w:r>
              <w:t>Вероятность</w:t>
            </w:r>
          </w:p>
        </w:tc>
        <w:tc>
          <w:tcPr>
            <w:tcW w:type="dxa" w:w="2051"/>
            <w:shd w:fill="AEBFCB"/>
          </w:tcPr>
          <w:p>
            <w:r>
              <w:t>Последствия</w:t>
            </w:r>
          </w:p>
        </w:tc>
        <w:tc>
          <w:tcPr>
            <w:tcW w:type="dxa" w:w="2051"/>
            <w:shd w:fill="AEBFCB"/>
          </w:tcPr>
          <w:p>
            <w:r>
              <w:t>Доказательства</w:t>
            </w:r>
          </w:p>
        </w:tc>
        <w:tc>
          <w:tcPr>
            <w:tcW w:type="dxa" w:w="2051"/>
            <w:shd w:fill="AEBFCB"/>
          </w:tcPr>
          <w:p>
            <w:r>
              <w:t>Мера</w:t>
            </w:r>
          </w:p>
        </w:tc>
      </w:tr>
      <w:tr>
        <w:tc>
          <w:tcPr>
            <w:tcW w:type="dxa" w:w="2051"/>
          </w:tcPr>
          <w:p>
            <w:r>
              <w:t>Четкое описание цели документа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Распределение полномочий и ответственности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Перечень подтверждающих документов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Порядок согласования, исполнения и контроля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Срок действия и процедура изменения документа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>
      <w:pPr>
        <w:pStyle w:val="Heading1"/>
      </w:pPr>
      <w:r>
        <w:t>6. Выводы</w:t>
      </w:r>
    </w:p>
    <w:p>
      <w:pPr>
        <w:spacing w:after="40"/>
        <w:ind w:left="312" w:hanging="312"/>
      </w:pPr>
      <w:r>
        <w:t>1. Текущий уровень юридической готовности / риска: [___].</w:t>
      </w:r>
    </w:p>
    <w:p>
      <w:pPr>
        <w:spacing w:after="40"/>
        <w:ind w:left="312" w:hanging="312"/>
      </w:pPr>
      <w:r>
        <w:t>2. Критические нарушения, препятствующие запуску / сделке: [___].</w:t>
      </w:r>
    </w:p>
    <w:p>
      <w:pPr>
        <w:spacing w:after="40"/>
        <w:ind w:left="312" w:hanging="312"/>
      </w:pPr>
      <w:r>
        <w:t>3. Допустимые риски, принимаемые руководством письменно: [___].</w:t>
      </w:r>
    </w:p>
    <w:p>
      <w:pPr>
        <w:spacing w:after="40"/>
        <w:ind w:left="312" w:hanging="312"/>
      </w:pPr>
      <w:r>
        <w:t>4. Необходимые документы и действия до контрольной даты: [___].</w:t>
      </w:r>
    </w:p>
    <w:p>
      <w:pPr>
        <w:pStyle w:val="Heading1"/>
      </w:pPr>
      <w:r>
        <w:t>7. План действий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№</w:t>
            </w:r>
          </w:p>
        </w:tc>
        <w:tc>
          <w:tcPr>
            <w:tcW w:type="dxa" w:w="2051"/>
            <w:shd w:fill="AEBFCB"/>
          </w:tcPr>
          <w:p>
            <w:r>
              <w:t>Действие</w:t>
            </w:r>
          </w:p>
        </w:tc>
        <w:tc>
          <w:tcPr>
            <w:tcW w:type="dxa" w:w="2051"/>
            <w:shd w:fill="AEBFCB"/>
          </w:tcPr>
          <w:p>
            <w:r>
              <w:t>Ответственный</w:t>
            </w:r>
          </w:p>
        </w:tc>
        <w:tc>
          <w:tcPr>
            <w:tcW w:type="dxa" w:w="2051"/>
            <w:shd w:fill="AEBFCB"/>
          </w:tcPr>
          <w:p>
            <w:r>
              <w:t>Срок</w:t>
            </w:r>
          </w:p>
        </w:tc>
        <w:tc>
          <w:tcPr>
            <w:tcW w:type="dxa" w:w="2051"/>
            <w:shd w:fill="AEBFCB"/>
          </w:tcPr>
          <w:p>
            <w:r>
              <w:t>Результат</w:t>
            </w:r>
          </w:p>
        </w:tc>
      </w:tr>
      <w:tr>
        <w:tc>
          <w:tcPr>
            <w:tcW w:type="dxa" w:w="2051"/>
          </w:tcPr>
          <w:p>
            <w:r>
              <w:t>1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2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3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4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5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6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7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Подготовил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Утвердил / принял риск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иностранному получателю о мерах защиты данных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