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НАМЕРЕНИИ ОСУЩЕСТВЛЯТЬ ОБРАБОТКУ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226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намерении осуществлять обработку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намерении осуществлять обработку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намерении осуществлять обработку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