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С ОПЕРАТОРОМ РЕКЛАМНЫХ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222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с оператором рекламных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с оператором рекламных данных»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оператором рекламных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