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ПОРУЧЕНИЕ НА ОБРАБОТКУ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206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«Поручение на обработку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both"/>
      </w:pPr>
      <w:r>
        <w:t>Настоящее поручение является приложением к договору № [___] от [___] между Оператором [___] и Обработчиком [___].</w:t>
      </w:r>
    </w:p>
    <w:p>
      <w:pPr>
        <w:pStyle w:val="Heading1"/>
      </w:pPr>
      <w:r>
        <w:t>1. Предмет поручения</w:t>
      </w:r>
    </w:p>
    <w:p>
      <w:pPr>
        <w:jc w:val="both"/>
      </w:pPr>
      <w:r>
        <w:t>Оператор поручает Обработчику обработку персональных данных исключительно для [цель] и в связи с оказанием услуг [___]. Обработчик не определяет самостоятельные несовместимые цели.</w:t>
      </w:r>
    </w:p>
    <w:p>
      <w:pPr>
        <w:pStyle w:val="Heading1"/>
      </w:pPr>
      <w:r>
        <w:t>2. Категории субъектов, данных и операций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19"/>
        <w:gridCol w:w="3419"/>
        <w:gridCol w:w="3419"/>
      </w:tblGrid>
      <w:tr>
        <w:tc>
          <w:tcPr>
            <w:tcW w:type="dxa" w:w="3419"/>
            <w:shd w:fill="AEBFCB"/>
          </w:tcPr>
          <w:p>
            <w:r>
              <w:t>Категории субъектов</w:t>
            </w:r>
          </w:p>
        </w:tc>
        <w:tc>
          <w:tcPr>
            <w:tcW w:type="dxa" w:w="3419"/>
            <w:shd w:fill="AEBFCB"/>
          </w:tcPr>
          <w:p>
            <w:r>
              <w:t>Персональные данные</w:t>
            </w:r>
          </w:p>
        </w:tc>
        <w:tc>
          <w:tcPr>
            <w:tcW w:type="dxa" w:w="3419"/>
            <w:shd w:fill="AEBFCB"/>
          </w:tcPr>
          <w:p>
            <w:r>
              <w:t>Операции</w:t>
            </w:r>
          </w:p>
        </w:tc>
      </w:tr>
      <w:tr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</w:tr>
      <w:tr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</w:tr>
      <w:tr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</w:tr>
      <w:tr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  <w:tc>
          <w:tcPr>
            <w:tcW w:type="dxa" w:w="3419"/>
          </w:tcPr>
          <w:p>
            <w:r>
              <w:t>[___]</w:t>
            </w:r>
          </w:p>
        </w:tc>
      </w:tr>
    </w:tbl>
    <w:p>
      <w:pPr>
        <w:pStyle w:val="Heading1"/>
      </w:pPr>
      <w:r>
        <w:t>3. Обязанности Обработчика</w:t>
      </w:r>
    </w:p>
    <w:p>
      <w:pPr>
        <w:spacing w:after="40"/>
        <w:ind w:left="312" w:hanging="312"/>
      </w:pPr>
      <w:r>
        <w:t>1. Соблюдать конфиденциальность и обрабатывать данные только по документированным указаниям Оператора.</w:t>
      </w:r>
    </w:p>
    <w:p>
      <w:pPr>
        <w:spacing w:after="40"/>
        <w:ind w:left="312" w:hanging="312"/>
      </w:pPr>
      <w:r>
        <w:t>2. Применять необходимые правовые, организационные и технические меры защиты.</w:t>
      </w:r>
    </w:p>
    <w:p>
      <w:pPr>
        <w:spacing w:after="40"/>
        <w:ind w:left="312" w:hanging="312"/>
      </w:pPr>
      <w:r>
        <w:t>3. Обеспечить учет лиц с доступом, журналирование и своевременный отзыв прав.</w:t>
      </w:r>
    </w:p>
    <w:p>
      <w:pPr>
        <w:spacing w:after="40"/>
        <w:ind w:left="312" w:hanging="312"/>
      </w:pPr>
      <w:r>
        <w:t>4. Не привлекать субобработчика без согласованного порядка и возложить на него равнозначные обязанности.</w:t>
      </w:r>
    </w:p>
    <w:p>
      <w:pPr>
        <w:spacing w:after="40"/>
        <w:ind w:left="312" w:hanging="312"/>
      </w:pPr>
      <w:r>
        <w:t>5. Содействовать Оператору при обращениях субъектов, проверках и оценке инцидентов.</w:t>
      </w:r>
    </w:p>
    <w:p>
      <w:pPr>
        <w:spacing w:after="40"/>
        <w:ind w:left="312" w:hanging="312"/>
      </w:pPr>
      <w:r>
        <w:t>6. Незамедлительно сообщать о неправомерном или случайном доступе и предоставлять сведения для обязательных уведомлений.</w:t>
      </w:r>
    </w:p>
    <w:p>
      <w:pPr>
        <w:spacing w:after="40"/>
        <w:ind w:left="312" w:hanging="312"/>
      </w:pPr>
      <w:r>
        <w:t>7. После прекращения поручения вернуть / удалить данные и подтвердить удаление, если хранение не требуется законом.</w:t>
      </w:r>
    </w:p>
    <w:p>
      <w:pPr>
        <w:pStyle w:val="Heading1"/>
      </w:pPr>
      <w:r>
        <w:t>4. Локализация и трансграничная передача</w:t>
      </w:r>
    </w:p>
    <w:p>
      <w:pPr>
        <w:jc w:val="both"/>
      </w:pPr>
      <w:r>
        <w:t>Место хранения и обработки: [___]. Передача за пределы Российской Федерации допускается только после письменного согласования и выполнения обязательных процедур.</w:t>
      </w:r>
    </w:p>
    <w:p>
      <w:pPr>
        <w:pStyle w:val="Heading1"/>
      </w:pPr>
      <w:r>
        <w:t>5. Контроль и ответственность</w:t>
      </w:r>
    </w:p>
    <w:p>
      <w:pPr>
        <w:jc w:val="both"/>
      </w:pPr>
      <w:r>
        <w:t>Оператор вправе запрашивать документы и проводить согласованный аудит. Обработчик отвечает за нарушение поручения в пределах закона и договора и возмещает документально подтвержденные потери, вызванные виновным нарушением.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Оператор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Обработчик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 на обработку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