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/>
          <w:b/>
          <w:color w:val="30495E"/>
          <w:sz w:val="30"/>
        </w:rPr>
        <w:t>КАРТА ЮРИДИЧЕСКИХ РИСКОВ ТЕХНОЛОГИЧЕСКОГО СТАРТАПА</w:t>
      </w:r>
    </w:p>
    <w:p>
      <w:pPr>
        <w:jc w:val="center"/>
      </w:pPr>
      <w:r>
        <w:rPr>
          <w:rFonts w:ascii="Times New Roman" w:hAnsi="Times New Roman"/>
          <w:i/>
          <w:color w:val="5A5A5A"/>
          <w:sz w:val="18"/>
        </w:rPr>
        <w:t>Документ № 002 | Раздел Юридическая упаковка IT-стартапа</w:t>
      </w:r>
    </w:p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10256"/>
      </w:tblGrid>
      <w:tr>
        <w:tc>
          <w:tcPr>
            <w:tcW w:type="dxa" w:w="10256"/>
            <w:shd w:fill="EEF3F6"/>
            <w:tcMar>
              <w:top w:w="120" w:type="dxa"/>
              <w:start w:w="140" w:type="dxa"/>
              <w:bottom w:w="120" w:type="dxa"/>
              <w:end w:w="140" w:type="dxa"/>
            </w:tcMar>
          </w:tcPr>
          <w:p>
            <w:pPr>
              <w:jc w:val="both"/>
            </w:pPr>
            <w:r>
              <w:rPr>
                <w:b/>
                <w:color w:val="30495E"/>
              </w:rPr>
              <w:t xml:space="preserve">Важно: </w:t>
            </w:r>
            <w:r>
              <w:t>образец предназначен для подготовки проекта документа. Перед подписанием, размещением на сайте или подачей в государственный орган необходимо проверить фактические обстоятельства, полномочия подписанта, подсудность, процессуальные сроки и действующую редакцию законодательства.</w:t>
            </w:r>
          </w:p>
        </w:tc>
      </w:tr>
    </w:tbl>
    <w:p/>
    <w:p>
      <w:pPr>
        <w:pStyle w:val="Heading1"/>
      </w:pPr>
      <w:r>
        <w:t>Назначение документа</w:t>
      </w:r>
    </w:p>
    <w:p>
      <w:pPr>
        <w:jc w:val="both"/>
      </w:pPr>
      <w:r>
        <w:t>Документ используется, чтобы провести структурированную проверку и зафиксировать результат для последующего управленческого решения. Поля в квадратных скобках заполняются фактическими данными; альтернативные положения, не относящиеся к ситуации, исключаются.</w:t>
      </w:r>
    </w:p>
    <w:p>
      <w:pPr>
        <w:pStyle w:val="Heading2"/>
      </w:pPr>
      <w:r>
        <w:t>Когда применять</w:t>
      </w:r>
    </w:p>
    <w:p>
      <w:pPr>
        <w:pStyle w:val="ListBullet"/>
        <w:spacing w:after="40"/>
      </w:pPr>
      <w:r>
        <w:t>при подготовке или проверке документа «Карта юридических рисков технологического стартапа»;</w:t>
      </w:r>
    </w:p>
    <w:p>
      <w:pPr>
        <w:pStyle w:val="ListBullet"/>
        <w:spacing w:after="40"/>
      </w:pPr>
      <w:r>
        <w:t>до совершения юридически значимых действий, передачи денежных средств, кода, данных, домена, учетных записей или исключительных прав;</w:t>
      </w:r>
    </w:p>
    <w:p>
      <w:pPr>
        <w:pStyle w:val="ListBullet"/>
        <w:spacing w:after="40"/>
      </w:pPr>
      <w:r>
        <w:t>при формировании доказательственного досье для переговоров, претензионной работы, проверки государственного органа или суда;</w:t>
      </w:r>
    </w:p>
    <w:p>
      <w:pPr>
        <w:pStyle w:val="ListBullet"/>
        <w:spacing w:after="40"/>
      </w:pPr>
      <w:r>
        <w:t>после проверки полномочий подписантов, применимого права, обязательной формы и порядка согласования.</w:t>
      </w:r>
    </w:p>
    <w:p>
      <w:pPr>
        <w:pStyle w:val="Heading2"/>
      </w:pPr>
      <w:r>
        <w:t>Правовая основа</w:t>
      </w:r>
    </w:p>
    <w:p>
      <w:pPr>
        <w:pStyle w:val="ListBullet"/>
        <w:spacing w:after="40"/>
      </w:pPr>
      <w:r>
        <w:t>Гражданский кодекс Российской Федерации (общие положения об обязательствах и договорах)</w:t>
      </w:r>
    </w:p>
    <w:p>
      <w:pPr>
        <w:pStyle w:val="Heading2"/>
      </w:pPr>
      <w:r>
        <w:t>Ключевые вопросы для адаптации</w:t>
      </w:r>
    </w:p>
    <w:p>
      <w:pPr>
        <w:pStyle w:val="ListBullet"/>
        <w:spacing w:after="40"/>
      </w:pPr>
      <w:r>
        <w:t>четкое описание цели документа</w:t>
      </w:r>
    </w:p>
    <w:p>
      <w:pPr>
        <w:pStyle w:val="ListBullet"/>
        <w:spacing w:after="40"/>
      </w:pPr>
      <w:r>
        <w:t>распределение полномочий и ответственности</w:t>
      </w:r>
    </w:p>
    <w:p>
      <w:pPr>
        <w:pStyle w:val="ListBullet"/>
        <w:spacing w:after="40"/>
      </w:pPr>
      <w:r>
        <w:t>перечень подтверждающих документов</w:t>
      </w:r>
    </w:p>
    <w:p>
      <w:pPr>
        <w:pStyle w:val="ListBullet"/>
        <w:spacing w:after="40"/>
      </w:pPr>
      <w:r>
        <w:t>порядок согласования, исполнения и контроля</w:t>
      </w:r>
    </w:p>
    <w:p>
      <w:pPr>
        <w:pStyle w:val="ListBullet"/>
        <w:spacing w:after="40"/>
      </w:pPr>
      <w:r>
        <w:t>срок действия и процедура изменения документа</w:t>
      </w:r>
    </w:p>
    <w:p>
      <w:pPr>
        <w:pStyle w:val="Heading1"/>
      </w:pPr>
      <w:r>
        <w:t>Сведения о проекте / проверяемом объекте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shd w:fill="DCE6ED"/>
          </w:tcPr>
          <w:p>
            <w:r>
              <w:t>Наименование проекта / компании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Продукт или объект проверки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Ответственное лицо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Дата проверки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Проверяемый период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Контрагент / правообладатель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  <w:tr>
        <w:tc>
          <w:tcPr>
            <w:tcW w:type="dxa" w:w="5128"/>
            <w:shd w:fill="DCE6ED"/>
          </w:tcPr>
          <w:p>
            <w:r>
              <w:t>Ссылка на папку доказательств</w:t>
            </w:r>
          </w:p>
        </w:tc>
        <w:tc>
          <w:tcPr>
            <w:tcW w:type="dxa" w:w="5128"/>
          </w:tcPr>
          <w:p>
            <w:r>
              <w:t>[___]</w:t>
            </w:r>
          </w:p>
        </w:tc>
      </w:tr>
    </w:tbl>
    <w:p>
      <w:pPr>
        <w:pStyle w:val="Heading1"/>
      </w:pPr>
      <w:r>
        <w:t>Контрольная таблица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051"/>
        <w:gridCol w:w="2051"/>
        <w:gridCol w:w="2051"/>
        <w:gridCol w:w="2051"/>
        <w:gridCol w:w="2051"/>
      </w:tblGrid>
      <w:tr>
        <w:tc>
          <w:tcPr>
            <w:tcW w:type="dxa" w:w="2051"/>
            <w:shd w:fill="AEBFCB"/>
          </w:tcPr>
          <w:p>
            <w:r>
              <w:t>№</w:t>
            </w:r>
          </w:p>
        </w:tc>
        <w:tc>
          <w:tcPr>
            <w:tcW w:type="dxa" w:w="2051"/>
            <w:shd w:fill="AEBFCB"/>
          </w:tcPr>
          <w:p>
            <w:r>
              <w:t>Проверяемый вопрос</w:t>
            </w:r>
          </w:p>
        </w:tc>
        <w:tc>
          <w:tcPr>
            <w:tcW w:type="dxa" w:w="2051"/>
            <w:shd w:fill="AEBFCB"/>
          </w:tcPr>
          <w:p>
            <w:r>
              <w:t>Да / нет / н/п</w:t>
            </w:r>
          </w:p>
        </w:tc>
        <w:tc>
          <w:tcPr>
            <w:tcW w:type="dxa" w:w="2051"/>
            <w:shd w:fill="AEBFCB"/>
          </w:tcPr>
          <w:p>
            <w:r>
              <w:t>Подтверждающий документ</w:t>
            </w:r>
          </w:p>
        </w:tc>
        <w:tc>
          <w:tcPr>
            <w:tcW w:type="dxa" w:w="2051"/>
            <w:shd w:fill="AEBFCB"/>
          </w:tcPr>
          <w:p>
            <w:r>
              <w:t>Риск / действие</w:t>
            </w:r>
          </w:p>
        </w:tc>
      </w:tr>
      <w:tr>
        <w:tc>
          <w:tcPr>
            <w:tcW w:type="dxa" w:w="2051"/>
          </w:tcPr>
          <w:p>
            <w:r>
              <w:t>1</w:t>
            </w:r>
          </w:p>
        </w:tc>
        <w:tc>
          <w:tcPr>
            <w:tcW w:type="dxa" w:w="2051"/>
          </w:tcPr>
          <w:p>
            <w:r>
              <w:t>Четкое описание цели документа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2</w:t>
            </w:r>
          </w:p>
        </w:tc>
        <w:tc>
          <w:tcPr>
            <w:tcW w:type="dxa" w:w="2051"/>
          </w:tcPr>
          <w:p>
            <w:r>
              <w:t>Распределение полномочий и ответственности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3</w:t>
            </w:r>
          </w:p>
        </w:tc>
        <w:tc>
          <w:tcPr>
            <w:tcW w:type="dxa" w:w="2051"/>
          </w:tcPr>
          <w:p>
            <w:r>
              <w:t>Перечень подтверждающих документов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4</w:t>
            </w:r>
          </w:p>
        </w:tc>
        <w:tc>
          <w:tcPr>
            <w:tcW w:type="dxa" w:w="2051"/>
          </w:tcPr>
          <w:p>
            <w:r>
              <w:t>Порядок согласования, исполнения и контроля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5</w:t>
            </w:r>
          </w:p>
        </w:tc>
        <w:tc>
          <w:tcPr>
            <w:tcW w:type="dxa" w:w="2051"/>
          </w:tcPr>
          <w:p>
            <w:r>
              <w:t>Срок действия и процедура изменения документа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6</w:t>
            </w:r>
          </w:p>
        </w:tc>
        <w:tc>
          <w:tcPr>
            <w:tcW w:type="dxa" w:w="2051"/>
          </w:tcPr>
          <w:p>
            <w:r>
              <w:t>Определены собственники проекта, роли и полномочия участников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7</w:t>
            </w:r>
          </w:p>
        </w:tc>
        <w:tc>
          <w:tcPr>
            <w:tcW w:type="dxa" w:w="2051"/>
          </w:tcPr>
          <w:p>
            <w:r>
              <w:t>Проверена цепочка возникновения и передачи исключительных прав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8</w:t>
            </w:r>
          </w:p>
        </w:tc>
        <w:tc>
          <w:tcPr>
            <w:tcW w:type="dxa" w:w="2051"/>
          </w:tcPr>
          <w:p>
            <w:r>
              <w:t>Договоры содержат измеримые результаты, сроки и критерии приемки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9</w:t>
            </w:r>
          </w:p>
        </w:tc>
        <w:tc>
          <w:tcPr>
            <w:tcW w:type="dxa" w:w="2051"/>
          </w:tcPr>
          <w:p>
            <w:r>
              <w:t>Оформлены режим конфиденциальности и доступ к исходному коду / данным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10</w:t>
            </w:r>
          </w:p>
        </w:tc>
        <w:tc>
          <w:tcPr>
            <w:tcW w:type="dxa" w:w="2051"/>
          </w:tcPr>
          <w:p>
            <w:r>
              <w:t>Проверены персональные данные, cookies, рассылки и внешние сервисы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11</w:t>
            </w:r>
          </w:p>
        </w:tc>
        <w:tc>
          <w:tcPr>
            <w:tcW w:type="dxa" w:w="2051"/>
          </w:tcPr>
          <w:p>
            <w:r>
              <w:t>Проверены лицензии сторонних и open-source-компонентов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12</w:t>
            </w:r>
          </w:p>
        </w:tc>
        <w:tc>
          <w:tcPr>
            <w:tcW w:type="dxa" w:w="2051"/>
          </w:tcPr>
          <w:p>
            <w:r>
              <w:t>Сформированы резервные копии и план реагирования на инциденты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13</w:t>
            </w:r>
          </w:p>
        </w:tc>
        <w:tc>
          <w:tcPr>
            <w:tcW w:type="dxa" w:w="2051"/>
          </w:tcPr>
          <w:p>
            <w:r>
              <w:t>Выявлены обязательные уведомления и регистрационные действия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14</w:t>
            </w:r>
          </w:p>
        </w:tc>
        <w:tc>
          <w:tcPr>
            <w:tcW w:type="dxa" w:w="2051"/>
          </w:tcPr>
          <w:p>
            <w:r>
              <w:t>Доказательства проверки сохранены в неизменяемом виде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  <w:tr>
        <w:tc>
          <w:tcPr>
            <w:tcW w:type="dxa" w:w="2051"/>
          </w:tcPr>
          <w:p>
            <w:r>
              <w:t>15</w:t>
            </w:r>
          </w:p>
        </w:tc>
        <w:tc>
          <w:tcPr>
            <w:tcW w:type="dxa" w:w="2051"/>
          </w:tcPr>
          <w:p>
            <w:r>
              <w:t>Назначены ответственные и сроки устранения замечаний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  <w:tc>
          <w:tcPr>
            <w:tcW w:type="dxa" w:w="2051"/>
          </w:tcPr>
          <w:p>
            <w:r>
              <w:t>[___]</w:t>
            </w:r>
          </w:p>
        </w:tc>
      </w:tr>
    </w:tbl>
    <w:p>
      <w:pPr>
        <w:pStyle w:val="Heading1"/>
      </w:pPr>
      <w:r>
        <w:t>Шкала оценки риска</w:t>
      </w:r>
    </w:p>
    <w:p>
      <w:pPr>
        <w:pStyle w:val="ListBullet"/>
        <w:spacing w:after="40"/>
      </w:pPr>
      <w:r>
        <w:t>Низкий - нарушение не выявлено либо устраняется обычной процедурой.</w:t>
      </w:r>
    </w:p>
    <w:p>
      <w:pPr>
        <w:pStyle w:val="ListBullet"/>
        <w:spacing w:after="40"/>
      </w:pPr>
      <w:r>
        <w:t>Средний - требуется корректирующее действие и контроль срока.</w:t>
      </w:r>
    </w:p>
    <w:p>
      <w:pPr>
        <w:pStyle w:val="ListBullet"/>
        <w:spacing w:after="40"/>
      </w:pPr>
      <w:r>
        <w:t>Высокий - возможны значимые убытки, утрата прав, предписание, спор или ответственность.</w:t>
      </w:r>
    </w:p>
    <w:p>
      <w:pPr>
        <w:pStyle w:val="ListBullet"/>
        <w:spacing w:after="40"/>
      </w:pPr>
      <w:r>
        <w:t>Критический - запуск / сделку рекомендуется приостановить до устранения нарушения.</w:t>
      </w:r>
    </w:p>
    <w:p>
      <w:pPr>
        <w:pStyle w:val="Heading1"/>
      </w:pPr>
      <w:r>
        <w:t>Итог</w:t>
      </w:r>
    </w:p>
    <w:p>
      <w:pPr>
        <w:jc w:val="both"/>
      </w:pPr>
      <w:r>
        <w:t>Общий уровень риска: [низкий / средний / высокий / критический].</w:t>
      </w:r>
    </w:p>
    <w:p>
      <w:pPr>
        <w:jc w:val="both"/>
      </w:pPr>
      <w:r>
        <w:t>Ключевые выводы: [___].</w:t>
      </w:r>
    </w:p>
    <w:p>
      <w:pPr>
        <w:jc w:val="both"/>
      </w:pPr>
      <w:r>
        <w:t>Перечень обязательных действий, ответственных и сроков: [___].</w:t>
      </w:r>
    </w:p>
    <w:p/>
    <w:tbl>
      <w:tblPr>
        <w:tblW w:type="auto" w:w="0"/>
        <w:jc w:val="center"/>
        <w:tblLayout w:type="autofit"/>
        <w:tblLook w:firstColumn="1" w:firstRow="1" w:lastColumn="0" w:lastRow="0" w:noHBand="0" w:noVBand="1" w:val="04A0"/>
      </w:tblPr>
      <w:tblGrid>
        <w:gridCol w:w="5128"/>
        <w:gridCol w:w="5128"/>
      </w:tblGrid>
      <w:tr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Проверку провел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  <w:tc>
          <w:tcPr>
            <w:tcW w:type="dxa" w:w="5128"/>
            <w:tcMar>
              <w:top w:w="100" w:type="dxa"/>
              <w:start w:w="120" w:type="dxa"/>
              <w:bottom w:w="100" w:type="dxa"/>
              <w:end w:w="120" w:type="dxa"/>
            </w:tcMar>
          </w:tcPr>
          <w:p>
            <w:r>
              <w:rPr>
                <w:b/>
                <w:color w:val="30495E"/>
              </w:rPr>
              <w:t>Результат согласовал</w:t>
            </w:r>
          </w:p>
          <w:p>
            <w:r>
              <w:t>Наименование / Ф.И.О.: [___]</w:t>
            </w:r>
          </w:p>
          <w:p>
            <w:r>
              <w:t>Адрес: [___]</w:t>
            </w:r>
          </w:p>
          <w:p>
            <w:r>
              <w:t>ИНН / ОГРН: [___]</w:t>
            </w:r>
          </w:p>
          <w:p>
            <w:r>
              <w:t>Подпись: __________ / [___]</w:t>
            </w:r>
          </w:p>
          <w:p>
            <w:r>
              <w:t>Дата: «___» ________ 2026 г.</w:t>
            </w:r>
          </w:p>
        </w:tc>
      </w:tr>
    </w:tbl>
    <w:sectPr w:rsidR="00FC693F" w:rsidRPr="0006063C" w:rsidSect="00034616">
      <w:headerReference w:type="default" r:id="rId9"/>
      <w:footerReference w:type="default" r:id="rId10"/>
      <w:pgSz w:w="12240" w:h="15840"/>
      <w:pgMar w:top="907" w:right="850" w:bottom="850" w:left="1134" w:header="397" w:footer="39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right"/>
    </w:pPr>
    <w:r/>
    <w:r>
      <w:rPr>
        <w:rFonts w:ascii="Times New Roman" w:hAnsi="Times New Roman"/>
        <w:color w:val="646464"/>
        <w:sz w:val="16"/>
      </w:rPr>
      <w:t xml:space="preserve">Образец 2026 года. Требует адаптации и проверки актуальной редакции законодательства.   </w:t>
    </w:r>
    <w:r>
      <w:rPr>
        <w:rFonts w:ascii="Times New Roman" w:hAnsi="Times New Roman"/>
        <w:sz w:val="18"/>
      </w:rPr>
      <w:t xml:space="preserve">Страница </w:t>
      <w:fldChar w:fldCharType="begin"/>
      <w:instrText xml:space="preserve"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left"/>
      <w:pBdr>
        <w:bottom w:val="single" w:sz="6" w:space="1" w:color="AEBFCB"/>
      </w:pBdr>
    </w:pPr>
    <w:r/>
    <w:r>
      <w:rPr>
        <w:rFonts w:ascii="Times New Roman" w:hAnsi="Times New Roman"/>
        <w:b/>
        <w:color w:val="30495E"/>
        <w:sz w:val="18"/>
      </w:rPr>
      <w:t>Юридическая фирма «Зотовы и партнеры» | IT и цифровое право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100" w:line="259" w:lineRule="auto"/>
    </w:pPr>
    <w:rPr>
      <w:rFonts w:ascii="Times New Roman" w:hAnsi="Times New Roman" w:eastAsia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160" w:after="80"/>
      <w:outlineLvl w:val="0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3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 w:ascii="Times New Roman" w:hAnsi="Times New Roman" w:eastAsia="Times New Roman"/>
      <w:b/>
      <w:bCs/>
      <w:color w:val="30495E"/>
      <w:sz w:val="2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80" w:line="240" w:lineRule="auto" w:before="160"/>
      <w:contextualSpacing/>
    </w:pPr>
    <w:rPr>
      <w:rFonts w:asciiTheme="majorHAnsi" w:eastAsiaTheme="majorEastAsia" w:hAnsiTheme="majorHAnsi" w:cstheme="majorBidi" w:ascii="Times New Roman" w:hAnsi="Times New Roman" w:eastAsia="Times New Roman"/>
      <w:b/>
      <w:color w:val="30495E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egalNote">
    <w:name w:val="Legal Note"/>
    <w:pPr>
      <w:spacing w:after="80"/>
    </w:pPr>
    <w:rPr>
      <w:rFonts w:ascii="Times New Roman" w:hAnsi="Times New Roman" w:eastAsia="Times New Roman"/>
      <w:i/>
      <w:color w:val="5A5A5A"/>
      <w:sz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Карта юридических рисков технологического стартапа</dc:title>
  <dc:subject>IT и цифровое право - образец документа</dc:subject>
  <dc:creator>Юридическая фирма «Зотовы и партнеры»</dc:creator>
  <cp:keywords/>
  <dc:description>Образец 2026 года. Требует адаптации.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