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ПЛАН ВНУТРЕННЕГО КОНТРОЛЯ СОБЛЮДЕНИЯ ЗАКОНОДАТЕЛЬСТВА О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194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«План внутреннего контроля соблюдения законодательства о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цели, категории и правовые основания обработки</w:t>
      </w:r>
    </w:p>
    <w:p>
      <w:pPr>
        <w:spacing w:after="40"/>
        <w:ind w:left="312" w:hanging="312"/>
      </w:pPr>
      <w:r>
        <w:t>2. состав субъектов и перечень операций</w:t>
      </w:r>
    </w:p>
    <w:p>
      <w:pPr>
        <w:spacing w:after="40"/>
        <w:ind w:left="312" w:hanging="312"/>
      </w:pPr>
      <w:r>
        <w:t>3. сроки хранения и порядок уничтожения</w:t>
      </w:r>
    </w:p>
    <w:p>
      <w:pPr>
        <w:spacing w:after="40"/>
        <w:ind w:left="312" w:hanging="312"/>
      </w:pPr>
      <w:r>
        <w:t>4. передача третьим лицам и трансграничная передача</w:t>
      </w:r>
    </w:p>
    <w:p>
      <w:pPr>
        <w:spacing w:after="40"/>
        <w:ind w:left="312" w:hanging="312"/>
      </w:pPr>
      <w:r>
        <w:t>5. меры безопасности, обращения субъектов и реагирование на инциденты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Федеральный закон от 27.07.2006 № 152-ФЗ «О персональных данных».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27.07.2006 № 149-ФЗ «Об информации, информационных технологиях и о защите информации».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Цели, категории и правовые основания обработки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Состав субъектов и перечень операций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Сроки хранения и порядок уничтожения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Передача третьим лицам и трансграничная передача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Меры безопасности, обращения субъектов и реагирование на инциденты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внутреннего контроля соблюдения законодательства о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