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МОДЕЛЬ УГРОЗ БЕЗОПАСНОСТИ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187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«Модель угроз безопасности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цели, категории и правовые основания обработки</w:t>
      </w:r>
    </w:p>
    <w:p>
      <w:pPr>
        <w:spacing w:after="40"/>
        <w:ind w:left="312" w:hanging="312"/>
      </w:pPr>
      <w:r>
        <w:t>2. состав субъектов и перечень операций</w:t>
      </w:r>
    </w:p>
    <w:p>
      <w:pPr>
        <w:spacing w:after="40"/>
        <w:ind w:left="312" w:hanging="312"/>
      </w:pPr>
      <w:r>
        <w:t>3. сроки хранения и порядок уничтожения</w:t>
      </w:r>
    </w:p>
    <w:p>
      <w:pPr>
        <w:spacing w:after="40"/>
        <w:ind w:left="312" w:hanging="312"/>
      </w:pPr>
      <w:r>
        <w:t>4. передача третьим лицам и трансграничная передача</w:t>
      </w:r>
    </w:p>
    <w:p>
      <w:pPr>
        <w:spacing w:after="40"/>
        <w:ind w:left="312" w:hanging="312"/>
      </w:pPr>
      <w:r>
        <w:t>5. меры безопасности, обращения субъектов и реагирование на инциденты</w:t>
      </w:r>
    </w:p>
    <w:p>
      <w:pPr>
        <w:spacing w:after="40"/>
        <w:ind w:left="312" w:hanging="312"/>
      </w:pPr>
      <w:r>
        <w:t>6. правомерность источников обучающих данных</w:t>
      </w:r>
    </w:p>
    <w:p>
      <w:pPr>
        <w:spacing w:after="40"/>
        <w:ind w:left="312" w:hanging="312"/>
      </w:pPr>
      <w:r>
        <w:t>7. распределение прав на модель, код, датасет и результаты</w:t>
      </w:r>
    </w:p>
    <w:p>
      <w:pPr>
        <w:spacing w:after="40"/>
        <w:ind w:left="312" w:hanging="312"/>
      </w:pPr>
      <w:r>
        <w:t>8. ограничения автоматизированных решений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31.07.2020 № 258-ФЗ об экспериментальных правовых режимах в сфере цифровых инноваций.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ГК РФ и законодательство о персональных данных в применимой части.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Цели, категории и правовые основания обработки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Состав субъектов и перечень операций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Сроки хранения и порядок уничтожения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Передача третьим лицам и трансграничная передача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Меры безопасности, обращения субъектов и реагирование на инциденты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Правомерность источников обучающих данных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угроз безопасности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