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ПРИКАЗ О НАЗНАЧЕНИИ ОТВЕТСТВЕННОГО ЗА ОБРАБОТКУ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183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«Приказ о назначении ответственного за обработку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«Приказ о назначении ответственного за обработку персональных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ответственного за обработку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