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ПОЛИТИКА ОПЕРАТОРА В ОТНОШЕНИИ ОБРАБОТКИ ПЕРСОНАЛЬНЫХ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181 | Раздел Персональные данные: локальные документы компании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«Политика оператора в отношении обработки персональных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«Политика оператора в отношении обработки персональных данных»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Цели, категории и правовые основания обработки.</w:t>
      </w:r>
    </w:p>
    <w:p>
      <w:pPr>
        <w:jc w:val="both"/>
      </w:pPr>
      <w:r>
        <w:t>Состав субъектов и перечень операций.</w:t>
      </w:r>
    </w:p>
    <w:p>
      <w:pPr>
        <w:jc w:val="both"/>
      </w:pPr>
      <w:r>
        <w:t>Сроки хранения и порядок уничтожения.</w:t>
      </w:r>
    </w:p>
    <w:p>
      <w:pPr>
        <w:jc w:val="both"/>
      </w:pPr>
      <w:r>
        <w:t>Передача третьим лицам и трансграничная передача.</w:t>
      </w:r>
    </w:p>
    <w:p>
      <w:pPr>
        <w:jc w:val="both"/>
      </w:pPr>
      <w:r>
        <w:t>Меры безопасности, обращения субъектов и реагирование на инциденты.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оператора в отношении обработки персональных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