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ПЕРЕДАЧЕ АДМИНИСТРИРОВАНИЯ ДОМЕННОГО ИМЕНИ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175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передаче администрирования доменного имени»;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уровень доступности сервиса</w:t>
      </w:r>
    </w:p>
    <w:p>
      <w:pPr>
        <w:pStyle w:val="ListBullet"/>
        <w:spacing w:after="40"/>
      </w:pPr>
      <w:r>
        <w:t>категории инцидентов и сроки реакции</w:t>
      </w:r>
    </w:p>
    <w:p>
      <w:pPr>
        <w:pStyle w:val="ListBullet"/>
        <w:spacing w:after="40"/>
      </w:pPr>
      <w:r>
        <w:t>окна обслуживания и исключения из расчета</w:t>
      </w:r>
    </w:p>
    <w:p>
      <w:pPr>
        <w:pStyle w:val="ListBullet"/>
        <w:spacing w:after="40"/>
      </w:pPr>
      <w:r>
        <w:t>сервисные кредиты, неустойка и отчетность</w:t>
      </w:r>
    </w:p>
    <w:p>
      <w:pPr>
        <w:pStyle w:val="ListBullet"/>
        <w:spacing w:after="40"/>
      </w:pPr>
      <w:r>
        <w:t>приоритет и объем исключительного права</w:t>
      </w:r>
    </w:p>
    <w:p>
      <w:pPr>
        <w:pStyle w:val="ListBullet"/>
        <w:spacing w:after="40"/>
      </w:pPr>
      <w:r>
        <w:t>сходство обозначений и однородность товаров / услуг</w:t>
      </w:r>
    </w:p>
    <w:p>
      <w:pPr>
        <w:pStyle w:val="ListBullet"/>
        <w:spacing w:after="40"/>
      </w:pPr>
      <w:r>
        <w:t>добросовестность регистрации и использования</w:t>
      </w:r>
    </w:p>
    <w:p>
      <w:pPr>
        <w:pStyle w:val="ListBullet"/>
        <w:spacing w:after="40"/>
      </w:pPr>
      <w:r>
        <w:t>доказательства администрирования домена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«Соглашение о передаче администрирования доменного имени»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Уровень доступности сервиса.</w:t>
      </w:r>
    </w:p>
    <w:p>
      <w:pPr>
        <w:jc w:val="both"/>
      </w:pPr>
      <w:r>
        <w:t>4.2. Категории инцидентов и сроки реакции.</w:t>
      </w:r>
    </w:p>
    <w:p>
      <w:pPr>
        <w:jc w:val="both"/>
      </w:pPr>
      <w:r>
        <w:t>4.3. Окна обслуживания и исключения из расчета.</w:t>
      </w:r>
    </w:p>
    <w:p>
      <w:pPr>
        <w:jc w:val="both"/>
      </w:pPr>
      <w:r>
        <w:t>4.4. Сервисные кредиты, неустойка и отчетность.</w:t>
      </w:r>
    </w:p>
    <w:p>
      <w:pPr>
        <w:jc w:val="both"/>
      </w:pPr>
      <w:r>
        <w:t>4.5. Приоритет и объем исключительного права.</w:t>
      </w:r>
    </w:p>
    <w:p>
      <w:pPr>
        <w:jc w:val="both"/>
      </w:pPr>
      <w:r>
        <w:t>4.6. Сходство обозначений и однородность товаров / услуг.</w:t>
      </w:r>
    </w:p>
    <w:p>
      <w:pPr>
        <w:jc w:val="both"/>
      </w:pPr>
      <w:r>
        <w:t>4.7. Добросовестность регистрации и использования.</w:t>
      </w:r>
    </w:p>
    <w:p>
      <w:pPr>
        <w:jc w:val="both"/>
      </w:pPr>
      <w:r>
        <w:t>4.8. Доказательства администрирования домена.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администрирования доменного имени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