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ЛИЦЕНЗИОННЫЙ ДОГОВОР НА ИСПОЛЬЗОВАНИЕ ТОВАРНОГО ЗНАКА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173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«Лицензионный договор на использование товарного знака»;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приоритет и объем исключительного права</w:t>
      </w:r>
    </w:p>
    <w:p>
      <w:pPr>
        <w:spacing w:after="40"/>
        <w:ind w:left="312" w:hanging="312"/>
      </w:pPr>
      <w:r>
        <w:t>2. сходство обозначений и однородность товаров / услуг</w:t>
      </w:r>
    </w:p>
    <w:p>
      <w:pPr>
        <w:spacing w:after="40"/>
        <w:ind w:left="312" w:hanging="312"/>
      </w:pPr>
      <w:r>
        <w:t>3. добросовестность регистрации и использования</w:t>
      </w:r>
    </w:p>
    <w:p>
      <w:pPr>
        <w:spacing w:after="40"/>
        <w:ind w:left="312" w:hanging="312"/>
      </w:pPr>
      <w:r>
        <w:t>4. доказательства администрирования домена</w:t>
      </w:r>
    </w:p>
    <w:p>
      <w:pPr>
        <w:spacing w:after="40"/>
        <w:ind w:left="312" w:hanging="312"/>
      </w:pPr>
      <w:r>
        <w:t>5. способ защиты и исполнение судебного акта регистратором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Заявка № [___] подана [дата] в отношении [объект / обозначение].</w:t>
      </w:r>
    </w:p>
    <w:p>
      <w:pPr>
        <w:jc w:val="both"/>
      </w:pPr>
      <w:r>
        <w:t>Роспатентом направлен запрос / уведомление / решение от [___], в котором указано [___].</w:t>
      </w:r>
    </w:p>
    <w:p>
      <w:pPr>
        <w:jc w:val="both"/>
      </w:pPr>
      <w:r>
        <w:t>Заявитель представляет дополнительные материалы и поясняет соответствие заявленного объекта требованиям законодательства.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статьи 1477-1515 ГК РФ о товарных знаках.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действующие Правила регистрации доменных имен в доменах .RU и .РФ - для доменных документов.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Приоритет и объем исключительного права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Сходство обозначений и однородность товаров / услуг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Добросовестность регистрации и использования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Доказательства администрирования домена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Способ защиты и исполнение судебного акта регистратором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на использование товарного знака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