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ВОЗРАЖЕНИЕ ПРОТИВ ОТКАЗА В ГОСУДАРСТВЕННОЙ РЕГИСТРАЦИИ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150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«Возражение против отказа в государственной регистрации»;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«Возражение против отказа в государственной регистрации»: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Признать оспариваемое решение / действие / бездействие незаконным и необоснованным.</w:t>
      </w:r>
    </w:p>
    <w:p>
      <w:pPr>
        <w:spacing w:after="40"/>
        <w:ind w:left="312" w:hanging="312"/>
      </w:pPr>
      <w:r>
        <w:t>2. Отменить решение / предписание / отказ от [___].</w:t>
      </w:r>
    </w:p>
    <w:p>
      <w:pPr>
        <w:spacing w:after="40"/>
        <w:ind w:left="312" w:hanging="312"/>
      </w:pPr>
      <w:r>
        <w:t>3. Обязать компетентное лицо повторно рассмотреть вопрос с учетом представленных доказательств либо принять решение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против отказа в государственной регистрации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