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ЗАЯВЛЕНИЕ ОБ ИСПРАВЛЕНИИ ОЧЕВИДНОЙ ОШИБКИ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146 | Раздел Государственная регистрация программ и баз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«Заявление об исправлении очевидной ошибки»;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статья 1262 ГК РФ и действующие административные правила Роспатента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«Заявление об исправлении очевидной ошибки»: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Принять и зарегистрировать настоящее заявление.</w:t>
      </w:r>
    </w:p>
    <w:p>
      <w:pPr>
        <w:spacing w:after="40"/>
        <w:ind w:left="312" w:hanging="312"/>
      </w:pPr>
      <w:r>
        <w:t>2. Совершить требуемое регистрационное / процессуальное действие: [___].</w:t>
      </w:r>
    </w:p>
    <w:p>
      <w:pPr>
        <w:spacing w:after="40"/>
        <w:ind w:left="312" w:hanging="312"/>
      </w:pPr>
      <w:r>
        <w:t>3. Направить решение и подтверждающие документы заявителю по адресу [___].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исправлении очевидной ошибки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