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ГОСУДАРСТВЕННОЙ РЕГИСТРАЦИИ ПРОГРАММЫ ДЛЯ ЭВМ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136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государственной регистрации программы для ЭВМ»;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государственной регистрации программы для ЭВМ»: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государственной регистрации программы для ЭВМ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