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О ПРИНАДЛЕЖНОСТИ ИСКЛЮЧИТЕЛЬНОГО ПРАВА КОМПАНИИ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134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о принадлежности исключительного права компании»;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Досудебная претензия от [___] получена адресатом [___], но требования не исполнены.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принадлежности исключительного права компании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