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АВТОРА НА ИСПОЛЬЗОВАНИЕ ПРОИЗВЕДЕНИЯ БЕЗ УКАЗАНИЯ ИМЕН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3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автора на использование произведения без указания имен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автора на использование произведения без указания имен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