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ИСКЛЮЧИТЕЛЬНЫЙ ЛИЦЕНЗИОННЫЙ ДОГОВОР НА ПРОГРАММНОЕ ОБЕСПЕЧЕНИЕ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123 | Раздел Исключительные права на программы и базы данных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подготовить мотивированный анализ фактов, правовых рисков и рекомендуемых действий.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«Исключительный лицензионный договор на программное обеспечение»;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ListBullet"/>
        <w:spacing w:after="40"/>
      </w:pPr>
      <w:r>
        <w:t>Арбитражный процессуальный кодекс Российской Федерации либо Гражданский процессуальный кодекс Российской Федерации - в зависимости от состава сторон и подсудности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компетентный орган и процессуальный статус заявителя</w:t>
      </w:r>
    </w:p>
    <w:p>
      <w:pPr>
        <w:pStyle w:val="ListBullet"/>
        <w:spacing w:after="40"/>
      </w:pPr>
      <w:r>
        <w:t>соблюдение претензионного порядка и сроков</w:t>
      </w:r>
    </w:p>
    <w:p>
      <w:pPr>
        <w:pStyle w:val="ListBullet"/>
        <w:spacing w:after="40"/>
      </w:pPr>
      <w:r>
        <w:t>доказательства нарушения и причинной связи</w:t>
      </w:r>
    </w:p>
    <w:p>
      <w:pPr>
        <w:pStyle w:val="ListBullet"/>
        <w:spacing w:after="40"/>
      </w:pPr>
      <w:r>
        <w:t>расчет требований и соразмерность способа защиты</w:t>
      </w:r>
    </w:p>
    <w:p>
      <w:pPr>
        <w:pStyle w:val="ListBullet"/>
        <w:spacing w:after="40"/>
      </w:pPr>
      <w:r>
        <w:t>надлежащая формулировка просительной части</w:t>
      </w:r>
    </w:p>
    <w:p>
      <w:pPr>
        <w:pStyle w:val="Heading1"/>
      </w:pPr>
      <w:r>
        <w:t>1. Исходные данные</w:t>
      </w:r>
    </w:p>
    <w:p>
      <w:pPr>
        <w:pStyle w:val="ListBullet"/>
        <w:spacing w:after="40"/>
      </w:pPr>
      <w:r>
        <w:t>Заказчик / инициатор: [___].</w:t>
      </w:r>
    </w:p>
    <w:p>
      <w:pPr>
        <w:pStyle w:val="ListBullet"/>
        <w:spacing w:after="40"/>
      </w:pPr>
      <w:r>
        <w:t>Проект / продукт: [___].</w:t>
      </w:r>
    </w:p>
    <w:p>
      <w:pPr>
        <w:pStyle w:val="ListBullet"/>
        <w:spacing w:after="40"/>
      </w:pPr>
      <w:r>
        <w:t>Цель анализа: [___].</w:t>
      </w:r>
    </w:p>
    <w:p>
      <w:pPr>
        <w:pStyle w:val="ListBullet"/>
        <w:spacing w:after="40"/>
      </w:pPr>
      <w:r>
        <w:t>Документы и данные, использованные при подготовке: [___].</w:t>
      </w:r>
    </w:p>
    <w:p>
      <w:pPr>
        <w:pStyle w:val="ListBullet"/>
        <w:spacing w:after="40"/>
      </w:pPr>
      <w:r>
        <w:t>Ограничения анализа и непроверенные предположения: [___].</w:t>
      </w:r>
    </w:p>
    <w:p>
      <w:pPr>
        <w:pStyle w:val="Heading1"/>
      </w:pPr>
      <w:r>
        <w:t>2. Вопросы анализа</w:t>
      </w:r>
    </w:p>
    <w:p>
      <w:pPr>
        <w:spacing w:after="40"/>
        <w:ind w:left="312" w:hanging="312"/>
      </w:pPr>
      <w:r>
        <w:t>1. компетентный орган и процессуальный статус заявителя</w:t>
      </w:r>
    </w:p>
    <w:p>
      <w:pPr>
        <w:spacing w:after="40"/>
        <w:ind w:left="312" w:hanging="312"/>
      </w:pPr>
      <w:r>
        <w:t>2. соблюдение претензионного порядка и сроков</w:t>
      </w:r>
    </w:p>
    <w:p>
      <w:pPr>
        <w:spacing w:after="40"/>
        <w:ind w:left="312" w:hanging="312"/>
      </w:pPr>
      <w:r>
        <w:t>3. доказательства нарушения и причинной связи</w:t>
      </w:r>
    </w:p>
    <w:p>
      <w:pPr>
        <w:spacing w:after="40"/>
        <w:ind w:left="312" w:hanging="312"/>
      </w:pPr>
      <w:r>
        <w:t>4. расчет требований и соразмерность способа защиты</w:t>
      </w:r>
    </w:p>
    <w:p>
      <w:pPr>
        <w:spacing w:after="40"/>
        <w:ind w:left="312" w:hanging="312"/>
      </w:pPr>
      <w:r>
        <w:t>5. надлежащая формулировка просительной части</w:t>
      </w:r>
    </w:p>
    <w:p>
      <w:pPr>
        <w:pStyle w:val="Heading1"/>
      </w:pPr>
      <w:r>
        <w:t>3. Установленные обстоятельства</w:t>
      </w:r>
    </w:p>
    <w:p>
      <w:pPr>
        <w:jc w:val="both"/>
      </w:pPr>
      <w:r>
        <w:t>Между сторонами заключен договор № [___] от [___] на разработку / использование программного продукта [___].</w:t>
      </w:r>
    </w:p>
    <w:p>
      <w:pPr>
        <w:jc w:val="both"/>
      </w:pPr>
      <w:r>
        <w:t>Заявитель передал техническое задание, оплатил [___] рублей и принял отдельные этапы, что подтверждается [___].</w:t>
      </w:r>
    </w:p>
    <w:p>
      <w:pPr>
        <w:jc w:val="both"/>
      </w:pPr>
      <w:r>
        <w:t>Нарушение выражается в непередаче исходного кода / незаконном использовании / уклонении от приемки / неоплате результата.</w:t>
      </w:r>
    </w:p>
    <w:p>
      <w:pPr>
        <w:jc w:val="both"/>
      </w:pPr>
      <w:r>
        <w:t>Досудебная претензия от [___] получена адресатом [___], но требования не исполнены.</w:t>
      </w:r>
    </w:p>
    <w:p>
      <w:pPr>
        <w:pStyle w:val="Heading1"/>
      </w:pPr>
      <w:r>
        <w:t>4. Правовой анализ</w:t>
      </w:r>
    </w:p>
    <w:p>
      <w:pPr>
        <w:jc w:val="both"/>
      </w:pPr>
      <w:r>
        <w:t>При оценке применяется Гражданский кодекс Российской Федерации (общие положения об обязательствах и договорах). Необходимо разграничивать наличие формального документа и фактическое выполнение установленных законом и договором мер.</w:t>
      </w:r>
    </w:p>
    <w:p>
      <w:pPr>
        <w:jc w:val="both"/>
      </w:pPr>
      <w:r>
        <w:t>При оценке применяется 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прав. Необходимо разграничивать наличие формального документа и фактическое выполнение установленных законом и договором мер.</w:t>
      </w:r>
    </w:p>
    <w:p>
      <w:pPr>
        <w:jc w:val="both"/>
      </w:pPr>
      <w:r>
        <w:t>При оценке применяется Арбитражный процессуальный кодекс Российской Федерации либо Гражданский процессуальный кодекс Российской Федерации - в зависимости от состава сторон и подсудности. Необходимо разграничивать наличие формального документа и фактическое выполнение установленных законом и договором мер.</w:t>
      </w:r>
    </w:p>
    <w:p>
      <w:pPr>
        <w:jc w:val="both"/>
      </w:pPr>
      <w:r>
        <w:t>Ключевое значение имеют доказуемая цепочка прав, письменная постановка задач, критерии приемки, сохранность версий, идентификация участников, законность обработки данных и документирование управленческих решений.</w:t>
      </w:r>
    </w:p>
    <w:p>
      <w:pPr>
        <w:pStyle w:val="Heading1"/>
      </w:pPr>
      <w:r>
        <w:t>5. Матрица рисков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Риск</w:t>
            </w:r>
          </w:p>
        </w:tc>
        <w:tc>
          <w:tcPr>
            <w:tcW w:type="dxa" w:w="2051"/>
            <w:shd w:fill="AEBFCB"/>
          </w:tcPr>
          <w:p>
            <w:r>
              <w:t>Вероятность</w:t>
            </w:r>
          </w:p>
        </w:tc>
        <w:tc>
          <w:tcPr>
            <w:tcW w:type="dxa" w:w="2051"/>
            <w:shd w:fill="AEBFCB"/>
          </w:tcPr>
          <w:p>
            <w:r>
              <w:t>Последствия</w:t>
            </w:r>
          </w:p>
        </w:tc>
        <w:tc>
          <w:tcPr>
            <w:tcW w:type="dxa" w:w="2051"/>
            <w:shd w:fill="AEBFCB"/>
          </w:tcPr>
          <w:p>
            <w:r>
              <w:t>Доказательства</w:t>
            </w:r>
          </w:p>
        </w:tc>
        <w:tc>
          <w:tcPr>
            <w:tcW w:type="dxa" w:w="2051"/>
            <w:shd w:fill="AEBFCB"/>
          </w:tcPr>
          <w:p>
            <w:r>
              <w:t>Мера</w:t>
            </w:r>
          </w:p>
        </w:tc>
      </w:tr>
      <w:tr>
        <w:tc>
          <w:tcPr>
            <w:tcW w:type="dxa" w:w="2051"/>
          </w:tcPr>
          <w:p>
            <w:r>
              <w:t>Компетентный орган и процессуальный статус заявителя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Соблюдение претензионного порядка и сроков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Доказательства нарушения и причинной связи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Расчет требований и соразмерность способа защиты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Надлежащая формулировка просительной части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>
      <w:pPr>
        <w:pStyle w:val="Heading1"/>
      </w:pPr>
      <w:r>
        <w:t>6. Выводы</w:t>
      </w:r>
    </w:p>
    <w:p>
      <w:pPr>
        <w:spacing w:after="40"/>
        <w:ind w:left="312" w:hanging="312"/>
      </w:pPr>
      <w:r>
        <w:t>1. Текущий уровень юридической готовности / риска: [___].</w:t>
      </w:r>
    </w:p>
    <w:p>
      <w:pPr>
        <w:spacing w:after="40"/>
        <w:ind w:left="312" w:hanging="312"/>
      </w:pPr>
      <w:r>
        <w:t>2. Критические нарушения, препятствующие запуску / сделке: [___].</w:t>
      </w:r>
    </w:p>
    <w:p>
      <w:pPr>
        <w:spacing w:after="40"/>
        <w:ind w:left="312" w:hanging="312"/>
      </w:pPr>
      <w:r>
        <w:t>3. Допустимые риски, принимаемые руководством письменно: [___].</w:t>
      </w:r>
    </w:p>
    <w:p>
      <w:pPr>
        <w:spacing w:after="40"/>
        <w:ind w:left="312" w:hanging="312"/>
      </w:pPr>
      <w:r>
        <w:t>4. Необходимые документы и действия до контрольной даты: [___].</w:t>
      </w:r>
    </w:p>
    <w:p>
      <w:pPr>
        <w:pStyle w:val="Heading1"/>
      </w:pPr>
      <w:r>
        <w:t>7. План действий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№</w:t>
            </w:r>
          </w:p>
        </w:tc>
        <w:tc>
          <w:tcPr>
            <w:tcW w:type="dxa" w:w="2051"/>
            <w:shd w:fill="AEBFCB"/>
          </w:tcPr>
          <w:p>
            <w:r>
              <w:t>Действие</w:t>
            </w:r>
          </w:p>
        </w:tc>
        <w:tc>
          <w:tcPr>
            <w:tcW w:type="dxa" w:w="2051"/>
            <w:shd w:fill="AEBFCB"/>
          </w:tcPr>
          <w:p>
            <w:r>
              <w:t>Ответственный</w:t>
            </w:r>
          </w:p>
        </w:tc>
        <w:tc>
          <w:tcPr>
            <w:tcW w:type="dxa" w:w="2051"/>
            <w:shd w:fill="AEBFCB"/>
          </w:tcPr>
          <w:p>
            <w:r>
              <w:t>Срок</w:t>
            </w:r>
          </w:p>
        </w:tc>
        <w:tc>
          <w:tcPr>
            <w:tcW w:type="dxa" w:w="2051"/>
            <w:shd w:fill="AEBFCB"/>
          </w:tcPr>
          <w:p>
            <w:r>
              <w:t>Результат</w:t>
            </w:r>
          </w:p>
        </w:tc>
      </w:tr>
      <w:tr>
        <w:tc>
          <w:tcPr>
            <w:tcW w:type="dxa" w:w="2051"/>
          </w:tcPr>
          <w:p>
            <w:r>
              <w:t>1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2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3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4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5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6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7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Подготовил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Утвердил / принял риск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Исключительный лицензионный договор на программное обеспечение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