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ПЛАН УСТРАНЕНИЯ НАРУШЕНИЙ, ВЫЯВЛЕННЫХ ВНУТРЕННИМ РАССЛЕДОВАНИЕМ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Цель</w:t>
      </w:r>
    </w:p>
    <w:p>
      <w:pPr>
        <w:ind w:firstLine="397"/>
      </w:pPr>
      <w:r>
        <w:rPr>
          <w:rFonts w:ascii="Times New Roman" w:hAnsi="Times New Roman"/>
          <w:sz w:val="22"/>
        </w:rPr>
        <w:t>Организовать последовательные действия по задаче: план устранения нарушений, выявленных внутренним расследованием, определить сроки, ответственных, контрольные точки и доказательства выполнения.</w:t>
      </w:r>
    </w:p>
    <w:p>
      <w:pPr>
        <w:pStyle w:val="Heading1"/>
      </w:pPr>
      <w:r>
        <w:t>Рабочий план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71"/>
        <w:gridCol w:w="1671"/>
        <w:gridCol w:w="1671"/>
        <w:gridCol w:w="1671"/>
        <w:gridCol w:w="1671"/>
        <w:gridCol w:w="1671"/>
      </w:tblGrid>
      <w:tr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№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Задача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Срок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Результат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Статус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назначить координатора и адвоката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сохранить документы и электронные данные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точное описание события, дат, участников и документов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выделение подтвержденных фактов и спорных предположений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перечень доказательств и конкретное управленческое или процессуальное решение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сформировать процессуальную позицию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подготовить и подать необходимые документы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контролировать исполнение и сроки обжалования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</w:tbl>
    <w:p>
      <w:pPr>
        <w:pStyle w:val="Heading1"/>
      </w:pPr>
      <w:r>
        <w:t>Контрольные точки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24 часа - сохранены доказательства и определена первичная позиция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3 суток - подготовлены первичные ходатайства, объяснения или жалобы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10 суток - устранены критические пробелы и получены независимые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еженедельно - обновляется карта рисков и перечень процессуальных сроков</w:t>
      </w:r>
    </w:p>
    <w:p/>
    <w:p>
      <w:r>
        <w:rPr>
          <w:rFonts w:ascii="Times New Roman" w:hAnsi="Times New Roman"/>
          <w:sz w:val="20"/>
        </w:rPr>
        <w:t>Координатор: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устранения нарушений, выявленных внутренним расследованием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