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066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04. Внутреннее расследование</w:t>
            </w:r>
          </w:p>
        </w:tc>
      </w:tr>
    </w:tbl>
    <w:p>
      <w:pPr>
        <w:pStyle w:val="Title"/>
        <w:jc w:val="center"/>
      </w:pPr>
      <w:r>
        <w:t>ПИСЬМЕННОЕ ОБЪЯСНЕНИЕ РАБОТНИКА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Последовательное изложение фактов и доказательств для исключения неверной уголовно-правовой оценки хозяйственной деятельности.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ТК РФ (статьи 192-193); Федеральный закон № 402-ФЗ; Федеральный закон № 98-ФЗ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ПИСЬМЕННОЕ ОБЪЯСНЕНИЕ РАБОТНИКА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ТК РФ (статьи 192-193); Федеральный закон № 402-ФЗ; Федеральный закон № 98-ФЗ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Письменное объяснение работника</dc:title>
  <dc:subject>04. Внутреннее расследование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