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390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КОМПЛЕКСНЫЙ ПЛАН УГОЛОВНОЙ, НАЛОГОВОЙ, КОРПОРАТИВНОЙ И БАНКРОТНОЙ ЗАЩИТЫ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КОМПЛЕКСНЫЙ ПЛАН УГОЛОВНОЙ, НАЛОГОВОЙ, КОРПОРАТИВНОЙ И БАНКРОТНОЙ ЗАЩИТЫ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Момент возникновения неплатежеспособности.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Экономическая обоснованность сделок и платежей.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Разграничение предпринимательского риска и умышленных действий.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ГК РФ (статьи 1, 10, 53.1); Постановление Пленума ВС РФ от 15.11.2016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план уголовной, налоговой, корпоративной и банкротной защиты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