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УВЕДОМЛЕНИЕ РАБОТНИКА О ВОЗНИКНОВЕНИИ КОНФЛИКТА ИНТЕРЕСОВ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уведомление работника о возникновении конфликта интересов,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работника о возникновении конфликта интересов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