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ПИСЬМЕННАЯ ПОЗИЦИЯ РУКОВОДИТЕЛЯ ПО СПОРНЫМ СДЕЛКАМ ПЕРЕД БАНКРОТСТВОМ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РУКОВОДИТЕЛЯ ПО СПОРНЫМ СДЕЛКАМ ПЕРЕД БАНКРОТСТВОМ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Момент возникновения неплатежеспособности.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Экономическая обоснованность сделок и платежей.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предпринимательского риска и умышленных действий.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ГК РФ (статьи 1, 10, 53.1); Постановление Пленума ВС РФ от 15.11.2016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руководителя по спорным сделкам перед банкротством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