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ЗАКЛЮЧЕНИЕ ОБ ОТСУТСТВИИ ПРИЗНАКОВ ФИКТИВНОГО БАНКРОТСТВА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об отсутствии признаков фиктивного банкротства,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Момент возникновения неплатежеспособности: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Экономическая обоснованность сделок и платежей: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Разграничение предпринимательского риска и умышленных действий: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Момент возникновения неплатежеспособности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Экономическая обоснованность сделок и платежей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Разграничение предпринимательского риска и умышленных действий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об отсутствии признаков фиктивного банкротства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